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E-2946/2015 vom 8. Juni 2015</w:t>
      </w:r>
    </w:p>
    <w:p>
      <w:r>
        <w:t>Bundesverwaltungsgericht, 2015-06-08, DE</w:t>
      </w:r>
    </w:p>
    <w:p>
      <w:r>
        <w:rPr>
          <w:b/>
        </w:rPr>
        <w:t xml:space="preserve">Quelle: </w:t>
      </w:r>
      <w:r>
        <w:t>https://mcp.opencaselaw.ch/entscheid/bvger_E-2946_2015</w:t>
      </w:r>
    </w:p>
    <w:p>
      <w:r>
        <w:t>FR: TAF E-2946/2015 du 8 juin 2015</w:t>
      </w:r>
    </w:p>
    <w:p>
      <w:r>
        <w:t>IT: TAF E-2946/2015 del 8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eines auf der Empfangsbestätigung ersichtlichen Empfangsdatums nicht fest. Da die Beweislast für die Zustellung an die Partei der eröffnenden Behörde obliegt (vgl. Moser/Beusch/Kneubühler, Prozessieren vor dem Bundesverwaltungsgericht, Basel 2013, 2. Aufl., Rz. 2.112, S. 76), ist zugunsten des Beschwerdeführers davon auszugehen, dass die Beschwerde rechtzeitig erfolgt ist.</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es sei nicht glaubhaft, dass der Beschwerdeführer von sri-lankischen Sicherheitskräften bedroht worden sei. Bei den vorgebrachten Vorfällen, wonach er von Unbekannten mehrfach bedroht worden sei, weil er der Familie seiner Frau helfe, und dass er zwei bis drei Mal verfolgt worden sei, handle es sich um lokal oder regional beschränkte Verfolgungsmassnahmen, welchen er sich durch einen Wegzug in einen anderen Teil des Landes entziehen könne. Darüber hinaus würden solche Vorfälle aufgrund mangelnder Intensität keinen Verfolgungscharakter nach Art. 3 AsylG aufweisen.</w:t>
      </w:r>
    </w:p>
    <w:p>
      <w:r>
        <w:rPr>
          <w:b/>
        </w:rPr>
        <w:t>E. 5.2</w:t>
      </w:r>
    </w:p>
    <w:p>
      <w:r>
        <w:t>In der Rechtsmitteleingabe macht der Beschwerdeführer zur Hauptsache geltend, er lebe unter ständiger Gefahr für sein Leben und seine Freiheit. Die Behörden würden ihn beschuldigen, als Informant und Fotograf für die LTTE gearbeitet zu haben. Zudem würden ihn Unbekannte einschüchtern. Er müsse sich ständig verstecken.</w:t>
      </w:r>
    </w:p>
    <w:p>
      <w:r>
        <w:rPr>
          <w:b/>
        </w:rPr>
        <w:t>E. 5.3</w:t>
      </w:r>
    </w:p>
    <w:p>
      <w:r>
        <w:t>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Der Beschwerdeführer gehört indes keiner dieser Gruppen an. Zudem sind ihm, wie bereits vorinstanzlich festgestellt, keine ernsthaften Nachteile im Sinne von Art. 3 AsylG widerfahren. Dass der Beschwerdeführer für die LTTE gearbeitet habe und deshalb einer erhöhten Verfolgungsgefahr ausgesetzt wäre, wurde von ihm nicht glaubhaft vorgebracht. So erwähnt er nur am Rande und äusserst unsubstantiiert, dass er dem Vater seiner Frau Informationen weitergegeben habe, und dass er als Fotograf für die LTTE tätig gewesen sei (SEM-Akten, A15/11 S. 6). Der Vorinstanz ist zuzustimmen, wenn sie diesbezüglich feststellt, dass diese Vorbringen im Widerspruch zu seiner Aussage stehen würden, dass er nie Probleme mit den staatlichen Sicherheitsbehörden gehabt habe (SEM-Akten, A15/11 S. 6). Weitergehend legt der Beschwerdeführer mit dem sinngemässen Wiederholen seiner Asylvorbringen nicht substantiiert dar, inwiefern die Verfügung Bundesrecht verletzen oder aus einem anderen Beschwerdegrund mangelhaft sein soll. Solches ist auch nicht ersichtlich. Dem Beschwerdeführer ist somit ein weiterer Verbleib in Sri Lanka zumutbar und er ist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