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E-2943/2023 vom 26. Mai 2023</w:t>
      </w:r>
    </w:p>
    <w:p>
      <w:r>
        <w:t>Bundesverwaltungsgericht, 2023-05-26, FR</w:t>
      </w:r>
    </w:p>
    <w:p>
      <w:r>
        <w:rPr>
          <w:b/>
        </w:rPr>
        <w:t xml:space="preserve">Quelle: </w:t>
      </w:r>
      <w:r>
        <w:t>https://mcp.opencaselaw.ch/entscheid/bvger_E-2943_2023</w:t>
      </w:r>
    </w:p>
    <w:p>
      <w:r>
        <w:t>FR: TAF E-2943/2023 du 26 mai 2023</w:t>
      </w:r>
    </w:p>
    <w:p>
      <w:r>
        <w:t>IT: TAF E-2943/2023 del 26 maggio 2023</w:t>
      </w:r>
    </w:p>
    <w:p>
      <w:pPr>
        <w:pStyle w:val="Heading2"/>
      </w:pPr>
      <w:r>
        <w:t>Regeste</w:t>
      </w:r>
    </w:p>
    <w:p>
      <w:r>
        <w:t>Asile (non-entrée en matière) et renvoi (réexamen)</w:t>
      </w:r>
    </w:p>
    <w:p>
      <w:pPr>
        <w:pStyle w:val="Heading2"/>
      </w:pPr>
      <w:r>
        <w:t>Erwägungen</w:t>
      </w:r>
    </w:p>
    <w:p>
      <w:r>
        <w:rPr>
          <w:b/>
        </w:rPr>
        <w:t>E. 4</w:t>
      </w:r>
    </w:p>
    <w:p>
      <w:r>
        <w:t>mars 2023, comportement que le SEM a assimilé à une « fuite » au sens de l’art. 29 par. 2 du règlement Dublin III, que dans son recours du 23 mai 2023, la recourante a pour l’essentiel nié avoir disparu ou pris la fuite, qu'à teneur de l'art. 29 par. 2 du règlement Dublin III, le délai de transfert vers un Etat membre responsable peut être porté à dix-huit mois au maximum si la personne concernée prend la fuite, qu’il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cf. également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l’intéressée doit, ou non, être qualifié de « fuite » au sens de la jurisprudence précitée, relève du fond de la demande de réexamen et ne doit pas être tranchée à ce stade,</w:t>
      </w:r>
    </w:p>
    <w:p>
      <w:r>
        <w:t>E-2943/2023 Page 7 que comme déjà dit, seule se pose ici la question de savoir si le SEM était fondé à déclarer la demande de réexamen comme étant dénuée de chances de succès, qu’en l’espèce, il ressort du dossier du SEM que, par courriel du 4 avril 2023, soit une semaine avant l’échéance du délai de transfert de l’intéressée en Croatie, l’autorité cantonale s’est enquise auprès du centre d’accueil et du foyer dans lesquels la recourante avait été, respectivement était hébergée, d’éventuels absences injustifiées de celle-ci entre son arrivée au centre d’accueil et le 14 mars 2023, date à laquelle elle aurait été hospitalisée, que, le même jour, le foyer hébergeant l’intéressée a répondu que celle-ci avait été absente les 13, 17 et 18 janvier 2023, le 22 février 2023 ainsi que le 4 mars 2023, ajoutant que seules les absences supérieures à trois jours devaient être annoncées par les pensionnaires, et précisant que l’intéressée avait été hospitalisée entre le 24 janvier 2023 et le 15 février 2023, ainsi qu’à partir du 14 mars 2023, que le 5 avril 2023, l’autorité cantonale a demandé au SEM si les absences susmentionnées permettaient la prolongation du délai de transfert de la recourante, que, le même jour, le SEM a répondu que si ces « absences injustifiées », notamment celles du 17 au 18 janvier 2023, étaient considérées comme des disparitions, une prolongation du délai de transfert était possible dès le premier jour de disparition, que, le même jour toujours, l’autorité cantonale a signifié au SEM : « Etant donné que la concerné[e] ne se trouvait pas au foyer et donc pas à disposition des autorités en charge du renvoi, nous pouvons considérer cela comme une disparition », que, le même jour encore, le SEM, comme déjà dit, a demandé aux autorités croates la prolongation du délai de transfert de la recourante, que prima facie, rien n’indique que le SEM ignorait alors le lieu de séjour de l’intéressée, qu’il ne paraît pas non plus ressortir du dossier de l’autorité intimée que celle-ci a pris des mesures concrètes en vue d’exécuter le transfert de la recourante vers la Croatie les 13, 17 et 18 janvier 2023, le 22 février 2023, le 4 mars 2023, ou à des dates proches,</w:t>
      </w:r>
    </w:p>
    <w:p>
      <w:r>
        <w:t>E-2943/2023 Page 8 qu’en outre, le caractère « injustifié » des absences de la recourante, d’une durée de un à deux jours, n’est a priori pas établi, au regard du fait que, comme relevé, seules les absences supérieures à trois jours devaient, semble-t-il, être annoncées au foyer, que ces absences n’ont d’ailleurs apparemment pas fait l’objet d’avis de disparition au SEM avant le 5 avril 2023, que rien n’indique donc a priori que l’intéressée ait eu l’intention d’échapper aux autorités lorsqu’elle s’est absentée aux dates susmentionnées, qu’il appartenait dans ces conditions au SEM de s’interroger sur les raisons des absences précitées de la recourante ou pour le moins de s’enquérir de manière précise de ses obligations dans le cadre de son hébergement, que dans son recours, l’intéressée a d’ailleurs contesté avoir été absente du foyer le 13 janvier 2023 et le 22 février 2023, et a affirmé y avoir à tout le moins passé la nuit du 4 mars 2023, qu’elle a en outre exposé avoir été hospitalisée dans la nuit du 17 au 18 janvier 2023, ce qui expliquerait ses absences aux dates correspondantes, qu’elle a à cet égard produit un courriel du B._______, confirmant notamment qu’elle a été hospitalisée entre le 18 janvier 2023 (à 00h40) et le 16 février suivant, ainsi qu’entre le 10 mars 2023 et le 14 avril suivant, ce qui ne correspond pas aux informations transmises par le foyer dans son courriel précité du 4 avril 2023, qu’il n’est ainsi a priori pas exclu que ces informations soient partiellement erronées, qu’il n’est donc pas établi, de prime abord toujours et en l’état, que la recourante se soit soustraite volontairement ou par négligence grave à l'exécution de son transfert, que dans ces conditions, le SEM ne pouvait pas considérer comme vouée à l’échec la demande de réexamen de l’intéressé tendant à l’entrée en matière sur sa demande d’asile, qu’ainsi, il aurait manifestement dû entrer en matière sur cette demande et procéder à un examen matériel de celle-ci,</w:t>
      </w:r>
    </w:p>
    <w:p>
      <w:r>
        <w:t>E-2943/2023 Page 9 que par conséquent, le recours du 23 mai 2023 doit être admis et la décision du SEM du 16 mai 2023 annulée, que le dossier de la cause est renvoyé au SEM pour qu’il entre en matière et statue, au fond, sur la demande de réexamen du 11 avril 2023,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la recourante, qui obtient gain de cause, a droit à des dépens (art. 64 al. 1 PA ; art. 7 al. 1 du règlement du 21 février 2008 concernant les frais, dépens et indemnités fixés par le Tribunal administratif fédéral [FITAF, RS 173.320.2]), qu’en l’absence de décompte de prestations (art. 14 al. 2 FITAF), le versement d’un montant de 600 francs, tous frais et taxes compris, apparaît équitable en la présente cause, que sur le vu de ce qui précède, les demande d’effet suspensif, de dispense d’une avance des frais de procédure et d’assistance judiciaire partielle sont sans objet,</w:t>
      </w:r>
    </w:p>
    <w:p>
      <w:r>
        <w:t>(dispositif page suivante)</w:t>
      </w:r>
    </w:p>
    <w:p>
      <w:r>
        <w:t>E-2943/2023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