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E-2941/2015 vom 8. Juni 2015</w:t>
      </w:r>
    </w:p>
    <w:p>
      <w:r>
        <w:t>Bundesverwaltungsgericht, 2015-06-08, DE</w:t>
      </w:r>
    </w:p>
    <w:p>
      <w:r>
        <w:rPr>
          <w:b/>
        </w:rPr>
        <w:t xml:space="preserve">Quelle: </w:t>
      </w:r>
      <w:r>
        <w:t>https://mcp.opencaselaw.ch/entscheid/bvger_E-2941_2015</w:t>
      </w:r>
    </w:p>
    <w:p>
      <w:r>
        <w:t>FR: TAF E-2941/2015 du 8 juin 2015</w:t>
      </w:r>
    </w:p>
    <w:p>
      <w:r>
        <w:t>IT: TAF E-2941/2015 del 8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Vorliegens einer Empfangsbestätigung nicht fest. Da die Beweislast für die Zustellung an die Partei der eröffnenden Behörde obliegt (vgl. Moser/Beusch/Kneubühler, Prozessieren vor dem Bundesverwaltungsgericht, Basel 2013, 2. Aufl., Rz. 2.112, S. 76), ist zugunsten der Beschwerdeführerin davon auszugehen, dass die Beschwerde rechtzeitig erfolgt ist.</w:t>
      </w:r>
    </w:p>
    <w:p>
      <w:r>
        <w:rPr>
          <w:b/>
        </w:rPr>
        <w:t>E. 1.3</w:t>
      </w:r>
    </w:p>
    <w:p>
      <w:r>
        <w:t>Die Beschwerdeführerin ist als Verfügungsadressatin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Bedenken der Beschwerdeführerin vor Übergriffen durch die Sicherheitsbehörden seien nachvollziehbar, würden indes die Wahrscheinlichkeit einer einreisebeachtlichen Bedrohung im heutigen Zeitpunkt nicht zu begründen vermögen. Es sei nicht auszuschliessen, dass die Familie auch nach der Entlassung ihres Ehemanns aus der Rehabilitation weiterhin unter der Beobachtung der sri-lankischen Behörden gestanden habe und wiederholt befragt worden sei. Auch sei es möglich, dass die Behörden weiterhin sporadisch bei ihrer Familie auftauchen würden, um sich nach dem Verbleib ihres Ehemannes zu erkundigen. Derartige Massnahmen seien jedoch als allgemeine Bekämpfung des Terrorismus der LTTE zu sehen und ihnen komme aufgrund der mangelnden Intensität kein Verfolgungscharakter zu.</w:t>
      </w:r>
    </w:p>
    <w:p>
      <w:r>
        <w:rPr>
          <w:b/>
        </w:rPr>
        <w:t>E. 5.2</w:t>
      </w:r>
    </w:p>
    <w:p>
      <w:r>
        <w:t>In der Rechtsmitteleingabe macht die Beschwerdeführerin zur Hauptsache geltend, sie sei stark gefährdet und würde in Angst leben. Am 28. März 2015 seien zwei Personen vorbeigekommen und hätten gedroht, ihre Tochter zu heiraten. Sie habe abgelehnt und die Personen seien verärgert gegangen. Es kämen regelmässig Personen vorbei, die sie für Befragungen mitnehmen würden. Diese seien auf der Suche nach ihrem Ehemann, der mit ihrem jüngsten Sohn nach D._______ geflohen sei.</w:t>
      </w:r>
    </w:p>
    <w:p>
      <w:r>
        <w:rPr>
          <w:b/>
        </w:rPr>
        <w:t>E. 5.3</w:t>
      </w:r>
    </w:p>
    <w:p>
      <w:r>
        <w:t>Das Bundesverwaltungsgericht wie auch die Vorinstanz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Die Beschwerdeführerin gehört indes keiner dieser Gruppen an. Zudem sind ihr, wie bereits vorinstanzlich festgestellt, keine ernsthaften Nachteile im Sinne von Art. 3 AsylG widerfahren. Dies gilt ebenfalls für den auf beschwerdeebene vorgebrachten Vorfall vom 28. März 2015, den die Beschwerdeführerin kaum substantiiert darlegt. Weitergehend legt die Beschwerdeführerin mit dem sinngemässen Wiederholen ihrer Asylvorbringen nicht substantiiert dar, inwiefern die Verfügung Bundesrecht verletzen oder aus einem anderen Beschwerdegrund mangelhaft sein soll. Solches ist auch nicht ersichtlich. Der Beschwerdeführerin ist somit ein weiterer Verbleib in Sri Lanka zumutbar und sie ist nicht auf den Schutz der Schweiz angewiesen. Die Vorinstanz hat demnach der Beschwerdeführerin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