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E-293/2014 vom 24. Januar 2014</w:t>
      </w:r>
    </w:p>
    <w:p>
      <w:r>
        <w:t>Bundesverwaltungsgericht, 2014-01-24, DE</w:t>
      </w:r>
    </w:p>
    <w:p>
      <w:r>
        <w:rPr>
          <w:b/>
        </w:rPr>
        <w:t xml:space="preserve">Quelle: </w:t>
      </w:r>
      <w:r>
        <w:t>https://mcp.opencaselaw.ch/entscheid/bvger_E-293_2014</w:t>
      </w:r>
    </w:p>
    <w:p>
      <w:r>
        <w:t>FR: TAF E-293/2014 du 24 janvier 2014</w:t>
      </w:r>
    </w:p>
    <w:p>
      <w:r>
        <w:t>IT: TAF E-293/2014 del 24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der Beschwerdeführerin davon auszugehen, dass die am 26. Dezember 2013 bei der Schweizerischen Botschaft eingegangene Beschwerde rechtzeitig erfolgt ist.</w:t>
      </w:r>
    </w:p>
    <w:p>
      <w:r>
        <w:rPr>
          <w:b/>
        </w:rPr>
        <w:t>E. 1.3</w:t>
      </w:r>
    </w:p>
    <w:p>
      <w:r>
        <w:t>Die Beschwerde ist somit frist- und formgerecht eingereicht. Die Beschwerdeführerin ist als Verfügungsadressatin durch die angefochtene Verfügung besonders berührt und hat ein schutzwürdiges Interesse an deren Aufhebung beziehungsweise Änderung. Sie ist daher zur Beschwerdeführung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oder einer zweiten Richterin (Art. 111 Bst. e AsylG) ohne Schriftenwechsel und mit summarischer Begründung zu behandeln (Art. 111a Abs. 1 und 2 AsylG).</w:t>
      </w:r>
    </w:p>
    <w:p>
      <w:r>
        <w:rPr>
          <w:b/>
        </w:rPr>
        <w:t>E. 4</w:t>
      </w:r>
    </w:p>
    <w:p>
      <w:r>
        <w:t>Das Parlament hat am 28. September 2012 gestützt auf Art. 165 Abs. 1 der Bundesverfassung der Schweizerischen Eidgenossenschaft vom 18. April 1999 (BV, SR 101) Teile der neuesten Revision des AsylG in der Form eines dringlichen Bundesgesetzes erlassen; die entsprechenden Gesetzesbestimmungen sind am 29. September 2012 in Kraft getreten.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5</w:t>
      </w:r>
    </w:p>
    <w:p>
      <w:r>
        <w:t>5.1 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sofern der asylsuchenden Person nicht zugemutet werden kann, im Wohnsitz- oder Aufenthaltsstaat zu bleiben oder in ein anderes Land auszureisen (Art. 20 Abs. 1 und 2 AsylG).</w:t>
      </w:r>
    </w:p>
    <w:p>
      <w:r>
        <w:rPr>
          <w:b/>
        </w:rPr>
        <w:t>E. 5.3</w:t>
      </w:r>
    </w:p>
    <w:p>
      <w:r>
        <w:t>Das Bundesamt kann ein im Ausland gestelltes Asylgesuch ablehnen, wenn die asylsuchenden Personen keine Verfolgung glaubhaft machen können oder ihnen die Aufnahme in einem Drittstaat zugemutet werden kann (vgl. Art. 3, Art. 7 und Art. 52 Abs. 2 AsylG).</w:t>
      </w:r>
    </w:p>
    <w:p>
      <w:r>
        <w:rPr>
          <w:b/>
        </w:rPr>
        <w:t>E. 5.4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 mit weiteren Hinweisen).</w:t>
      </w:r>
    </w:p>
    <w:p>
      <w:r>
        <w:rPr>
          <w:b/>
        </w:rPr>
        <w:t>E. 6.1</w:t>
      </w:r>
    </w:p>
    <w:p>
      <w:r>
        <w:t>Das BFM führte in seiner angefochtenen Verfügung vom 18. November 2013 aus, die Beschwerdeführerin sei nicht schutzbedürftig im Sinne von Art. 3 AsylG, weshalb die Einreise in die Schweiz nicht bewilligt werde und das Asylgesuch abzulehnen sei. Das BFM bedaure, dass die Beschwerdeführerin zu Hause von Sicherheitskräften aufgesucht und befragt worden sei, eine Einreisebewilligung könne hingegen nur erteilt werden, wenn mit überwiegender Wahrscheinlichkeit von einer akuten Gefährdung der gesuchstellenden Person bei einem Verbleib in Sri Lanka ausgegangen werden müsse. Dies sei vorliegend nicht der Fall. Zwar treffe zu, dass die sri-lankischen Behörden auch nach dem Ende der kriegerischen Auseinandersetzungen alles daran setzen würden, ein Wiedererstarken der LTTE zu verhindern, weshalb sie nach wie vor gegen ehemalige Führungspersönlichkeiten dieser Organisation vorgehen würden. Daher sei nicht auszuschliessen, dass auch die Beschwerdeführerin nach Ende des Bürgerkrieges unter Beobachtung der sri-lankischen Behörden gestanden habe. Massnahmen, die im Zusammenhang mit der allgemeinen Bekämpfung des Terrorismus der LTTE durch die sri-lankischen Behörden zu sehen seien, komme indessen aufgrund mangelnder Intensität kein Verfolgungscharakter im Sinne von Art. 3 AsylG zu, weshalb die geltend gemachten Hausbesuche sowie Befragungen und die damit verbundenen Beeinträchtigungen keine ernsthaften Nachteile im flüchtlingsrechtlichen Sinne darstellen würden.</w:t>
      </w:r>
    </w:p>
    <w:p>
      <w:r>
        <w:rPr>
          <w:b/>
        </w:rPr>
        <w:t>E. 6.2</w:t>
      </w:r>
    </w:p>
    <w:p>
      <w:r>
        <w:t>Demgegenüber wiederholt die Beschwerdeführerin in ihrer Beschwerdeeingabe im Wesentlichen ihre Vorbringen. Darüber hinaus macht sie geltend, sie sei zuletzt am 12. Dezember 2013 von den sri-lankischen Behörden bedroht worden. Damit aber legt sie nicht dar, inwiefern die Vorinstanz Bundesrecht verletzt, eine fehlerhafte Sachverhaltsfeststellung vorgenommen oder das Ermessen nicht sachgerecht ausgeübt haben soll. Solches ist auch nicht ersichtlich. So trifft zu, dass die von der Beschwerdeführerin gemachten Vorbringen nicht asylrelevant im Sinne von Art. 3 AsylG sind. Die Vorinstanz hat diesbezüglich zu Recht ausgeführt, dass den geltend gemachten Ereignissen aufgrund mangelnder Intensität keine Asylrelevanz beizumessen ist und im Zusammenhang mit der allgemeinen Bekämpfung des Terrorismus nach Beendigung des Bürgerkriegs zu sehen sind. Das Bundesverwaltungsgericht geht mit der Vorinstanz überein, dass die Beschwerdeführerin auch inskünftig keine asylrelevanten Nachteile zu befürchten hat. Insbesondere waren die erlebten Ereignisse offenbar nicht derart einschlägig, dass sie sich veranlasst sah, von einer innerstaatlichen Aufenthaltsalternative Gebrauch zu machen.</w:t>
      </w:r>
    </w:p>
    <w:p>
      <w:r>
        <w:rPr>
          <w:b/>
        </w:rPr>
        <w:t>E. 6.3</w:t>
      </w:r>
    </w:p>
    <w:p>
      <w:r>
        <w:t>Somit ist festzustellen, dass der Beschwerdeführerin ein weiterer Verbleib in Sri Lanka zumutbar ist und sie auf den Schutz der Schweiz nicht angewiesen ist. Die Vorinstanz hat demnach der Beschwerdeführerin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