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E-2939/2015 vom 8. Juni 2015</w:t>
      </w:r>
    </w:p>
    <w:p>
      <w:r>
        <w:t>Bundesverwaltungsgericht, 2015-06-08, DE</w:t>
      </w:r>
    </w:p>
    <w:p>
      <w:r>
        <w:rPr>
          <w:b/>
        </w:rPr>
        <w:t xml:space="preserve">Quelle: </w:t>
      </w:r>
      <w:r>
        <w:t>https://mcp.opencaselaw.ch/entscheid/bvger_E-2939_2015</w:t>
      </w:r>
    </w:p>
    <w:p>
      <w:r>
        <w:t>FR: TAF E-2939/2015 du 8 juin 2015</w:t>
      </w:r>
    </w:p>
    <w:p>
      <w:r>
        <w:t>IT: TAF E-2939/2015 del 8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Zeitpunkt der Eröffnung der angefochtenen Verfügung steht mangels Lesbarkeit der Empfangsbestätigung nicht fest. Da die Beweislast für die Zustellung an die Partei der eröffnenden Behörde obliegt (vgl. Moser/Beusch/Kneubühler, Prozessieren vor dem Bundesverwaltungsgericht, Basel 2013, 2. Aufl., Rz. 2.112, S. 76), ist zugunsten des Beschwerdeführers davon auszugehen, dass die Beschwerde rechtzeitig erfolgt ist.</w:t>
      </w:r>
    </w:p>
    <w:p>
      <w:r>
        <w:rPr>
          <w:b/>
        </w:rPr>
        <w:t>E. 1.3</w:t>
      </w:r>
    </w:p>
    <w:p>
      <w:r>
        <w:t>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die geltend gemachte Furcht vor Verfolgung durch die sri-lankischen Sicherheitskräfte vermöge die Wahrscheinlichkeit einer einreiserelevanten Verfolgung nicht zu begründen. Es sei nicht auszuschliessen, dass die Familie auch nach der Entlassung seines Vaters aus der Rehabilitation weiterhin unter der Beobachtung der sri-lankischen Behörden gestanden habe und wiederholt befragt worden sei. Auch sei es möglich, dass die Behörden weiterhin sporadisch bei seiner Familie auftauchen würden, um sich nach dem Verbleib seines Vaters zu erkundigen. Derartige Massnahmen seien jedoch als allgemeine Bekämpfung des Terrorismus der LTTE zu sehen und ihnen komme aufgrund der mangelnden Intensität kein Verfolgungscharakter zu. Zudem hätten die Sicherheitskräfte ihm persönlich nie etwas angetan.</w:t>
      </w:r>
    </w:p>
    <w:p>
      <w:r>
        <w:rPr>
          <w:b/>
        </w:rPr>
        <w:t>E. 5.2</w:t>
      </w:r>
    </w:p>
    <w:p>
      <w:r>
        <w:t>In der Rechtsmitteleingabe macht der Beschwerdeführer zur Hauptsache geltend, er habe im Krieg sein Augenlicht verloren und sei nach wie vor in Gefahr, da die Behörden denken würden, er und seine Familie hätten Beziehung zur LTTE. Am 28. März 2015 seien zwei Personen bei ihnen vorbeigekommen und hätten seinen Vater und seinen jüngeren Bruder gesucht. Zudem hätten sie gefordert, man solle ihnen seine Schwester zur Frau geben, damit ihre Probleme aufhören würden.</w:t>
      </w:r>
    </w:p>
    <w:p>
      <w:r>
        <w:rPr>
          <w:b/>
        </w:rPr>
        <w:t>E. 5.3</w:t>
      </w:r>
    </w:p>
    <w:p>
      <w:r>
        <w:t>Das Bundesverwaltungsgericht wie auch die Vorinstanz anerkennen,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Der Beschwerdeführer gehört indes keiner dieser Gruppen an. Zudem sind ihm, wie bereits vorinstanzlich festgestellt, keine ernsthaften Nachteile im Sinne von Art. 3 AsylG widerfahren. Dies gilt ebenfalls für den auf Beschwerdeebene vorgebrachten Vorfall vom 28. März 2015, den der Beschwerdeführer kaum substantiiert darlegt. Weitergehend legt der Beschwerdeführer mit dem sinngemässen Wiederholen seiner Asylvorbringen nicht substantiiert dar, inwiefern die Verfügung Bundesrecht verletzen oder aus einem anderen Beschwerdegrund mangelhaft sein soll. Solches ist auch nicht ersichtlich. Dem Beschwerdeführer ist somit ein weiterer Verbleib in Sri Lanka zumutbar und er ist nicht auf den Schutz der Schweiz angewiesen. Die Vorinstanz hat demnach dem Beschwerdeführer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