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E-2939/2011 vom 16. Juni 2011</w:t>
      </w:r>
    </w:p>
    <w:p>
      <w:r>
        <w:t>Bundesverwaltungsgericht, 2011-06-16, DE</w:t>
      </w:r>
    </w:p>
    <w:p>
      <w:r>
        <w:rPr>
          <w:b/>
        </w:rPr>
        <w:t xml:space="preserve">Quelle: </w:t>
      </w:r>
      <w:r>
        <w:t>https://mcp.opencaselaw.ch/entscheid/bvger_E-2939_2011</w:t>
      </w:r>
    </w:p>
    <w:p>
      <w:r>
        <w:t>FR: TAF E-2939/2011 du 16 juin 2011</w:t>
      </w:r>
    </w:p>
    <w:p>
      <w:r>
        <w:t>IT: TAF E-2939/2011 del 16 giugno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darüber vorbehältlich des Vorliegens eines Auslieferungsersuchens des Staates, vor welchem die beschwerdeführende Person Schutz sucht - endgültig (Art. 105 des Asylgesetzes vom 26. Juni 1998 [AsylG, SR 142.31];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108 und Art. 105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 solches Rechtsmittel, weshalb der Beschwerdeentscheid nur summarisch zu begründen ist (Art. 111a Abs. 2 AsylG). Gestützt auf Art. 111a Abs. 1 AsylG wurde auf die Durchführung eines Schriftenwechsels verzichtet.</w:t>
      </w:r>
    </w:p>
    <w:p>
      <w:r>
        <w:rPr>
          <w:b/>
        </w:rPr>
        <w:t>E. 4</w:t>
      </w:r>
    </w:p>
    <w:p>
      <w:r>
        <w:t>In formeller Hinsicht ist zunächst festzuhalten, dass gemäss Art. 19 AsylG ein Asylgesuch im Ausland bei einer schweizerischen Vertretung gestellt werden kann, welche dieses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einem Leitentscheid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Eine Anhörung kann sich auch erübrigen, wenn der Sachverhalt bereits aufgrund des eingereichten Asylgesuchs als entscheidreif erstellt erscheint; der asylsuchenden Person ist aber diesfalls im Sinn des rechtlichen Gehörs die Gelegenheit zu geben, sich zu einem abzusehenden negativen Entscheid schriftlich zu äussern (vgl. a.a.O. E. 5.7). Das Bundesamt ist gehalten, das Absehen von einer Befragung zu begründen. Der Beschwerdeführerin wurde im vorliegenden Verfahren nicht befragt; die Vorinstanz hat diesen Verzicht in ihrer Zwischenverfügung vom 27. Oktober 2010 begründet, mit welcher der Beschwerdeführerin das rechtliche Gehör zum Verzicht auf die Befragung und zu einem allfälligen negativen Entscheid gewährt wurde. In diesem Sinn erfolgte das Vorgehen der Vorinstanz in korrekter Weise - etwas Anderes wird auch von der Beschwerdeführerin nicht geltend gemacht.</w:t>
      </w:r>
    </w:p>
    <w:p>
      <w:r>
        <w:rPr>
          <w:b/>
        </w:rPr>
        <w:t>E. 5</w:t>
      </w:r>
    </w:p>
    <w:p>
      <w:r>
        <w:t>Im Folgenden ist zu prüfen, ob das Bundesamt das Asylgesuch in materieller Hinsicht zu Recht abgewiesen und der Beschwerdeführerin die Einreise in die Schweiz verweigert hat.</w:t>
      </w:r>
    </w:p>
    <w:p>
      <w:r>
        <w:rPr>
          <w:b/>
        </w:rPr>
        <w:t>E. 5.1</w:t>
      </w:r>
    </w:p>
    <w:p>
      <w:r>
        <w:t>Das BFM kann ein im Ausland gestelltes Gesuch ablehnen, wenn die asylsuchende Person keine Verfolgung glaubhaft machen kann oder ihr die Aufnahme in einem Drittstaat zugemutet werden kann (vgl. Art. 3, Art. 7 und Art. 52 Abs. 2 AsylG). Gemäss Art. 20 Abs. 2 AsylG bewilligt das BFM Asylsuchenden die Einreise zur Abklärung des Sachverhalts,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weiterhin zutreffende Praxis in Entscheidungen und Mitteilungen der Schweizerischen Asylrekurskommission [EMARK] 1997 Nr. 15, insbesondere S. 131 ff., welcher angesichts bloss redaktioneller Änderungen bei der letzten Totalrevision des Asylgesetzes nach wie vor Gültigkeit hat). Ausschlaggebend für die Erteilung der Einreisebewilligung ist demnach die Schutzbedürftigkeit der betroffenen Personen (vgl. EMARK 1997 Nr. 15 E. 2c S. 130), mithin die Prüfung der Fragen, ob eine Gefährdung im Sinn von Art. 3 AsylG glaubhaft gemacht wird und ob der Verbleib am Aufenthaltsort für die Dauer der Sachverhaltsabklärung zugemutet werden kann.</w:t>
      </w:r>
    </w:p>
    <w:p>
      <w:r>
        <w:rPr>
          <w:b/>
        </w:rPr>
        <w:t>E. 6.1</w:t>
      </w:r>
    </w:p>
    <w:p>
      <w:r>
        <w:t>Die Vorinstanz hat in ihrer Verfügung zu Recht darauf hingewiesen, dass es sich bei der Beschwerdeführerin nicht um eine landesweit bekannte Persönlichkeit handelt, der es nicht möglich wäre, sich allfälligen Bedrohungen durch einen Umzug innerhalb ihres Heimatlands zu entziehen; im Übrigen habe die Beschwerdeführerin die letzten (...) Jahre an der gleichen Adresse in Bogotà gelebt, was darauf schliessen lasse, dass sie in dieser Zeit gar keiner unmittelbaren Gefahr ausgesetzt gewesen sei.</w:t>
      </w:r>
    </w:p>
    <w:p>
      <w:r>
        <w:rPr>
          <w:b/>
        </w:rPr>
        <w:t>E. 6.2</w:t>
      </w:r>
    </w:p>
    <w:p>
      <w:r>
        <w:t>Abgesehen davon hat das BFM auch zutreffend festgestellt, dass es der Beschwerdeführerin zuzumuten wäre, in einem anderen Land um Asylgewährung nachzusuchen (vgl. Art. 52 [Abs. 2] AsylG).</w:t>
      </w:r>
    </w:p>
    <w:p>
      <w:r>
        <w:rPr>
          <w:b/>
        </w:rPr>
        <w:t>E. 6.2.1</w:t>
      </w:r>
    </w:p>
    <w:p>
      <w:r>
        <w:t>So sind beispielsweise die Nachbarstaaten Brasilien, Ecuador, Panama und Peru - gleich wie auch Argentinien (vgl. dazu sogleich) - Vertragsparteien sowohl des Abkommens über die Rechtsstellung der Flüchtlinge vom 28. Juli 1951 (FK, SR 0.142.30) als auch des betreffenden Zusatzprotokolls vom 31. Januar 1967. Für die praktische Durchführbarkeit und die Zumutbarkeit der anderweitigen Schutzsuche spricht auch die Möglichkeit der visumsfreien Einreise insbesondere nach Brasilien, Ecuador und Peru sowie der Umstand, dass jährlich mehrere Tausend kolumbianische Staatsangehörige in den Nachbarländern - namentlich in Ecuador - um Asyl ersuchen und dort zu einem beträchtlichen Teil auch als Flüchtlinge anerkannt werden (vgl. Entscheidungen und Mitteilungen der Schweizerischen Asylrekurskommission [EMARK] 2004 Nr. 20 sowie EMARK 1997 Nr. 15 E. 2 f. S. 132; vgl. etwa auch die Urteile des Bundesverwaltungsgerichts vom 6. August 2010 [D-5372/2010] und vom 15. Juni 2010 [E 4009/2010]).</w:t>
      </w:r>
    </w:p>
    <w:p>
      <w:r>
        <w:rPr>
          <w:b/>
        </w:rPr>
        <w:t>E. 6.2.2</w:t>
      </w:r>
    </w:p>
    <w:p>
      <w:r>
        <w:t>Vorliegend ist nach Durchsicht der Akten festzustellen, dass die Beschwerdeführerin, von Beruf (...), zurzeit in B._______ lebt und dort als (...) arbeitet. Sie hat damit offensichtlich bereits Schutz in einem anderen südamerikanischen Land gefunden.</w:t>
      </w:r>
    </w:p>
    <w:p>
      <w:r>
        <w:rPr>
          <w:b/>
        </w:rPr>
        <w:t>E. 6.3</w:t>
      </w:r>
    </w:p>
    <w:p>
      <w:r>
        <w:t>Hinzu kommt, dass die Beschwerdeführerin in ihrem Asylgesuch keine besonders nahen Beziehungen zur Schweiz geltend gemacht hat.</w:t>
      </w:r>
    </w:p>
    <w:p>
      <w:r>
        <w:rPr>
          <w:b/>
        </w:rPr>
        <w:t>E. 7</w:t>
      </w:r>
    </w:p>
    <w:p>
      <w:r>
        <w:t>Nach dem Gesagten erweist sich eine Schutzgewährung seitens der Schweizer Behörden nicht als erforderlich. Das BFM hat unter diesen Umständen zu Recht die Erteilung der Einreisebewilligung verweigert und das Asylgesuch der Beschwerdeführerin abgewiesen.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der Beschwerdeführerin aufzuerlegen (Art. 63 Abs. 1 VwVG). Aus verwaltungsökonomischen Gründen ist in Anwendung von Art. 63 Abs. 1 in fine AsylG und Art. 2 und 3 des Reglements vom 21. Februar 2008 über die Kosten und Entschädigungen vor dem Bundesverwaltungsgericht (VGKE, SR 173.320.2) indessen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