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E-2936/2020 vom 17. Juni 2020</w:t>
      </w:r>
    </w:p>
    <w:p>
      <w:r>
        <w:t>Bundesverwaltungsgericht, 2020-06-17, DE</w:t>
      </w:r>
    </w:p>
    <w:p>
      <w:r>
        <w:rPr>
          <w:b/>
        </w:rPr>
        <w:t xml:space="preserve">Quelle: </w:t>
      </w:r>
      <w:r>
        <w:t>https://mcp.opencaselaw.ch/entscheid/bvger_E-2936_2020</w:t>
      </w:r>
    </w:p>
    <w:p>
      <w:r>
        <w:t>FR: TAF E-2936/2020 du 17 juin 2020</w:t>
      </w:r>
    </w:p>
    <w:p>
      <w:r>
        <w:t>IT: TAF E-2936/2020 del 17 giugno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Auf den Antrag, es sei eventuell die aufschiebende Wirkung wiederherzustellen, ist nicht einzutreten, weil die aufschiebende Wirkung der Beschwerde nicht entzogen wurde (Art. 55 VwVG).</w:t>
      </w:r>
    </w:p>
    <w:p>
      <w:r>
        <w:rPr>
          <w:b/>
        </w:rPr>
        <w:t>E. 3.3</w:t>
      </w:r>
    </w:p>
    <w:p>
      <w:r>
        <w:t>Die Kognition des Bundesverwaltungsgerichts und die zulässigen Rügen richten sich im Asylbereich nach Art. 106 Abs. 1 AsylG, im Bereich des Ausländerrechts nach Art. 49 VwVG (vgl. BVGE 2014/26 E. 5).</w:t>
      </w:r>
    </w:p>
    <w:p>
      <w:r>
        <w:rPr>
          <w:b/>
        </w:rPr>
        <w:t>E. 4</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5.2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5.3</w:t>
      </w:r>
    </w:p>
    <w:p>
      <w:r>
        <w:t>Asylsuchende sind verpflichtet, an der Feststellung des Sachverhalts mitzuwirken. Sie müssen insbesondere ihre Identität offenlegen (Art. 8 AsylG und Art. 2a Asylverordnung 1 über Verfahrensfragen [Asylverordnung 1, AsylV 1, SR 142.311]). Der Untersuchungsgrundsatz findet unter anderem seine Grenzen an der Mitwirkungspflicht (Art. 8 AsylG, vgl. BVGE 2014/12 E. 6).</w:t>
      </w:r>
    </w:p>
    <w:p>
      <w:r>
        <w:rPr>
          <w:b/>
        </w:rPr>
        <w:t>E. 6.1</w:t>
      </w:r>
    </w:p>
    <w:p>
      <w:r>
        <w:t>Nach Prüfung der Akten durch das Gericht ist in Übereinstimmung mit der Vorinstanz festzustellen, dass die Vorbringen des Beschwerdeführers weder den Anforderungen an die Flüchtlingseigenschaft noch an das Glaubhaftmachen standzuhalten vermögen, weshalb vorab auf die ausführlichen und zutreffenden Erwägungen der Vorinstanz zu verweisen ist, die insbesondere zum Schluss kam, die Herkunftsangaben des Beschwerdeführers seien unglaubhaft und seine Asylvorbringen würden in den Befragungen voneinander abweichen, womit diese ebenfalls unglaubhaft seien. Die Beschwerdeausführungen erschöpfen sich in oberflächlichen Erklärungsversuchen, womit es ihnen nicht gelingt aufzuzeigen, inwiefern die vorinstanzliche Beweiswürdigung Bundesrecht verletzen oder zu einer rechtsfehlerhaften Sachverhaltsfeststellung führen soll. Solches ist auch nicht ersichtlich. Es trifft namentlich zu, dass der Beschwerdeführer seit seiner Einreise in die Schweiz in Bezug auf sein Alter und insbesondere zu seinem Geburtsdatum sowie zu Familienangehörigen verschiedene Angaben machte, was darauf hindeutet, dass er nicht gewillt ist, seine wahre Identität offenzulegen. Auch sein Wissen zu den regionalen Gegebenheiten, wo er seit Geburt gelebt haben will, vermag nicht zu überzeugen. Zudem gibt er verschiedene Geburtsorte an (SEM-Akten A42 F45 und A11 Ziff. 1.07). Unterlagen - namentlich zur Untermauerung der geltend gemachten Herkunft und Aufenthalte - werden auch auf Beschwerdeebene keine eingereicht. Vor dem Hintergrund der unglaubhaften Identität und der damit zusammenhängenden unglaubhaften Herkunft fehlt den Asylvorbringen bereits die Grundlage. Letztere wurde zudem in jeder Befragung grundlegend anders dargelegt (vgl. Sachverhalt Bst. D). Aussagen, die in der Erstbefragung von den späteren Aussagen diametral abweichen, sind Widersprüche, die im Rahmen der Beweiswürdigung zu berücksichtigen sind (so bereits Entscheidungen und Mitteilungen der Schweizerischen Asylrekurskommission [EMARK] 1993 Nr. 3 E. 3). Zudem fällt auf, dass der Beschwerdeführer über sämtliche Vorfälle ausschliesslich von seiner Tante unterrichtet worden sein will. Vorbringen, die sich jedoch lediglich auf Informationen Dritter stützen, sind nicht nur stereotyp, mithin unglaubhaft, sondern genügen auch nicht den Anforderungen an eine Verfolgung im asylrechtlichen Sinne (statt vieler Urteile des BVGer E-801/2015 vom 6. Oktober 2017 E. 3.7, E-4329/2006 vom 17. Oktober 2011 E. 4.4, "Le Tribunal rappelle également que, de pratique constante, il considère que le fait d'avoir appris un événement par des tiers ne suffit pas pour établir l'existence d'une crainte fondée de future persécution", vgl. auch D-6056/2016 vom 19. Januar 2018 E. 5.2). Schliesslich hinterlassen die protokollierten Vorbringen einen unsubstanziierten und stereotypen Eindruck; ihnen ist auch aus diesem Grund die Glaubhaftigkeit abzusprechen. Mithin ist der Vorinstanz darin beizupflichten, dass die Vorbringen des Beschwerdeführers unglaubhaft ausgefallen sind. Schliesslich wurde zutreffend festgestellt, dass Gründe rein wirtschaftlicher Natur keine Nachteile im asylrechtlichen Sinne darstellen.</w:t>
      </w:r>
    </w:p>
    <w:p>
      <w:r>
        <w:rPr>
          <w:b/>
        </w:rPr>
        <w:t>E. 6.2</w:t>
      </w:r>
    </w:p>
    <w:p>
      <w:r>
        <w:t>Angesichts der aufgezeigten Sachlage erübrigt es sich, auf weitere Ausführungen in der Beschwerde einzugehen, da diese nicht geeignet sind, zu einer anderen rechtlichen Würdigung der Aktenlage zu führen. Es ist somit festzustellen, dass es dem Beschwerdeführer nicht gelungen ist, einen glaubhaften beziehungsweise flüchtlingsrechtlich bedeutsamen Sachverhalt darzulegen. Die Feststellung der Vorinstanz, der Beschwerdeführer erfülle die Flüchtlingseigenschaft nicht, ist dementsprechend zu bestätigen. Die Vorinstanz hat das Asylgesuch zu Recht abgelehnt.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Der Beschwerdeführer hat in mehrfacher Hinsicht widersprüchliche Angaben zu seinen biographischen Daten gemacht (hierzu bereits E. 6). Weder die Antworten anlässlich des ihm gewährten rechtlichen Gehörs noch die Erklärungsversuche auf Beschwerdeebene lassen einen anderen Schluss zu. Zudem äusserte er sich widersprüchlich zu seinen Bezugspersonen vor Ort. So machte er namentlich in der Befragung zur Person geltend, er habe insgesamt fünf Brüder von denen er der jüngste sei (SEM-Akten A11 Ziff. 3.01 und Ziff. 3.03), wohingegen er in der Anhörung neu erklärte, er habe insgesamt sechs Brüder von denen zwei jünger als er seien (SEM-Akten A42 F18 und F29). Selbst die Namenangaben seiner angeblichen Familienmitglieder weichen teilweise in den Befragungen voneinander ab (z. B. SEM-Akten A42 F20 und F 26 ff.) und die Angaben zum Verbleib seines Vaters haben sich als widersprüchlich beziehungsweise unglaubhaft herausgestellt. Sein Antwortverhalten untermauert zudem, dass er nicht gewillt ist, klare Informationen zu seinen Familienverhältnissen darzulegen (z. B. SEM-Akten A42 F33 ff.). Es muss demnach zusammen mit der Vorinstanz davon ausgegangen werden, dass der Beschwerdeführer auch sein tatsächliches Beziehungsnetz im Heimatstaat zu verschleiern versucht. Bei dieser Ausgangslage ist es dem Gericht nicht möglich, sich in voller Kenntnis der tatsächlichen persönlichen und familiären Verhältnisse des Beschwerdeführers zur Zumutbarkeit des Vollzugs zu äussern, was aber für die Überprüfung von Vollzugshindernissen grundsätzlich Voraussetzung ist. Zulässigkeit, Zumutbarkeit und Möglichkeit des Wegweisungsvollzugs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Wegweisungsvollzugshindernissen zu forschen, wenn die betroffene Person - wie vorliegend der Beschwerdeführer - durch unglaubhafte beziehungsweise fehlende, womöglich gezielt vorenthaltene, Angaben über seine Identität und sein soziales Beziehungsnetz eine vernünftige Prüfung der Zumutbarkeit des Wegweisungsvollzugs verhindert. Vermutungsweise ist deshalb davon auszugehen, einer Wegweisung stünden keine landes- oder völkerrechtlichen Vollzugshindernisse im Sinne von Art. 44 AsylG in Verbindung mit Art. 83 Abs. 2-4 AIG entgegen (vgl. Urteile des BVGer E-1406/2018 vom 22. Dezember 2019 E. 7.3, D-2413/2019 vom 5. Juni 2019 E. 8.2, E-4811/2018 vom 10. September 2018 E. 8.4.5, EMARK 2005 Nr. 1 E. 3.2.2). Aus den auf Beschwerdeebene eingereichten Unterlagen zur Integration in der Schweiz kann der Beschwerdeführer nichts zu seinen Gunsten ableiten.</w:t>
      </w:r>
    </w:p>
    <w:p>
      <w:r>
        <w:rPr>
          <w:b/>
        </w:rPr>
        <w:t>E. 7.3</w:t>
      </w:r>
    </w:p>
    <w:p>
      <w:r>
        <w:t>Zusammenfassend hat die Vorinstanz den Wegweisungsvollzug zu Recht als zulässig, zumutbar und möglich bezeichnet. Eine Anordnung der vorläufigen Aufnahme fällt somit ausser Betracht (Art. 83 Abs. 1-4 AIG); der entsprechende Beschwerdeantrag ist abzuweisen.</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 (aArt. 110a Abs. 1 AsylG).</w:t>
      </w:r>
    </w:p>
    <w:p>
      <w:r>
        <w:rPr>
          <w:b/>
        </w:rPr>
        <w:t>E. 9.2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