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E-2930/2015 vom 2. Juni 2015</w:t>
      </w:r>
    </w:p>
    <w:p>
      <w:r>
        <w:t>Bundesverwaltungsgericht, 2015-06-02, DE</w:t>
      </w:r>
    </w:p>
    <w:p>
      <w:r>
        <w:rPr>
          <w:b/>
        </w:rPr>
        <w:t xml:space="preserve">Quelle: </w:t>
      </w:r>
      <w:r>
        <w:t>https://mcp.opencaselaw.ch/entscheid/bvger_E-2930_2015</w:t>
      </w:r>
    </w:p>
    <w:p>
      <w:r>
        <w:t>FR: TAF E-2930/2015 du 2 juin 2015</w:t>
      </w:r>
    </w:p>
    <w:p>
      <w:r>
        <w:t>IT: TAF E-2930/2015 del 2 giugno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lehnt das Asylgesuch ab, da die Vorbringen des Beschwerdeführers weder den Anforderungen an die Glaubhaftmachung gemäss Art. 7 AsylG noch denjenigen an die Asylrelevanz standhielten. Im Übrigen habe der Beschwerdeführer seine Mitwirkungspflicht in grober Weise verletzt und seine Aussagen seien stereotyp. Letztere seien - trotz der berücksichtigten tieferen Anforderung bei Minderjährigen - als absolut unglaubhaft zu betrachten. So versuche er zunächst mit seinen Angaben im Personalienblatt, mit dem Verschweigen seines Visums und unter Angabe einer falschen Reiseroute, die Behörden zu täuschen. Sodann seien seine Angaben über Werdegang, Familienverhältnisse und Wohnort von Unstimmigkeiten geprägt und von den Angaben anlässlich des Visumsantrags abweichend. Selbst zu den geltend gemachten Problemen habe er keine konkreten oder substantiierten Angaben machen können, wobei diese und die anderen Vorbringen ohnehin nicht von Asylrelevanz seien.</w:t>
      </w:r>
    </w:p>
    <w:p>
      <w:r>
        <w:rPr>
          <w:b/>
        </w:rPr>
        <w:t>E. 4.2</w:t>
      </w:r>
    </w:p>
    <w:p>
      <w:r>
        <w:t>Der Beschwerdeführer stellt dem entgegen, er sei noch sehr jung. Daher sei es mehr als nachvollziehbar und verständlich, dass er, nach seiner alleinigen Einreise in ein ihm fremdes Land, völlig verstört und verängstigt gewesen sei. Auf seiner Flucht in die Schweiz sei er von Dritten instruiert worden und habe anlässlich der Erstbefragung diesen Weisungen gemäss ausgesagt. Dank der Abklärungen über das Visum sei der Vorinstanz die Identität und Herkunft des Beschwerdeführers bekannt, dennoch habe diese nicht genügend Abklärungen vor Ort getroffen und die Verfügung der Vorinstanz hätte der Vertrauensperson eröffnet werden müssen und nicht dem Beschwerdeführer.</w:t>
      </w:r>
    </w:p>
    <w:p>
      <w:r>
        <w:rPr>
          <w:b/>
        </w:rPr>
        <w:t>E. 4.3</w:t>
      </w:r>
    </w:p>
    <w:p>
      <w:r>
        <w:t>Die Vorinstanz hat in tatsächlicher Hinsicht weder den Massstab des Glaubhaftmachens noch die fehlende Asylrelevanz verkannt und auf den vorliegenden Fall korrekt angewendet. In der angefochtenen Verfügung wird einlässlich begründet, welche der Vorbringen unglaubhaft sind oder keine Asylrelevanz entfalten. Dem stellt der Beschwerdeführer in seiner Rechtsmitteleingabe gegenüber - und untermauert somit die Schlussfolgerung der Vorinstanz - er habe bei der Erstbefragung gemäss Weisungen Dritter ausgesagt. Die Vorinstanz hat ebenfalls richtig erkannt, dass selbst wenn die Vorbringen in der Erst- und Zweitbefragung glaubhaft gewesen wären, diese nicht von Asylrelevanz sind. Um Wiederholungen zu verneinen, kann vollumfänglich auf die ausführlichen Ausführungen in der vorinstanzlichen Verfügung verwiesen werden. Indem der Beschwerdeführer anlässlich des rechtlichen Gehörs wichtige Informationen zu seiner Identität und zum Reiseweg offen legt, kann - entgegen der Beschwerdeschrift - nicht geschlossen werden, er habe die Behörden nicht über seine Identität täuschen wollen. Sodann sind vor­instanzliche Verfügungen, sofern der minderjährigen Person eine Vertrauensperson zur Seite steht, der minderjährigen Person sowie der Vertrauensperson zu eröffnen (Art. 53a AsylV 1 [SR 142.311]). Das ist vorliegend geschehen; die vorinstanzliche Verfügung ist dem Beschwerdeführer am 7. April 2015 eröffnet worden (Empfangsbestätigung vom 7. April 2015, SEM-Akte A 27) und am 8. April 2015 der Vertrauensperson zugegangen (Rückschein unterzeichnet am 8. April 2015, SEM-Akte A 31). Im Übrigen wurde die Beschwerde fristgerecht, somit ohne ersichtliche Nachteile für den Beschwerdeführer, eingereicht (Art. 38 VwVG). Die Beschwerde vermag nicht aufzuzeigen, inwiefern die Vorinstanz Bundesrecht verletzt oder den Sachverhalt rechtsfehlerhaft festgestellt haben soll. Solches ist auch nicht ersichtlich. Die Vorinstanz hat das Asylgesuch zu Recht abgelehnt.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den Aussagen des Beschwerdeführers ergeben sich Anhaltspunkte dafür, dass er für den Fall einer Ausschaffung in den Heimatstaat dort mit beachtlicher Wahrscheinlichkeit einer nach Art. 3 EMRK oder Art. 1 FoK verbotenen Strafe oder Behandlung ausgesetzt wäre. Der Wegweisungsvollzug ist zulässig.</w:t>
      </w:r>
    </w:p>
    <w:p>
      <w:r>
        <w:rPr>
          <w:b/>
        </w:rPr>
        <w:t>E. 6.3</w:t>
      </w:r>
    </w:p>
    <w:p>
      <w:r>
        <w:t>Der Vollzug der Wegweisung kann nach Art. 83 Abs. 4 AuG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2009/41 E. 7.1 S. 576 f.). In Tunesien herrscht keine Situation von Krieg, Bürgerkrieg oder allgemeiner Gewalt. Es liegen auch keine Anhaltspunkte dafür vor, dass der Beschwerdeführer bei einer Rückkehr nach Tunesien aus individuellen Gründen wirtschaftlicher, sozialer oder gesundheitlicher Natur in eine existenzbedrohende Situation geraten würde. Die Tatsachen, dass der Beschwerdeführer vor seiner Ausreise in einer Privatschule war und sich das französische Visum leisten konnte, sprechen dafür, dass entgegen seinen Aussagen in den Befragungen durchaus finanzielle Mittel und auch Unterstützung - nicht nur finanzieller Natur - in seinem Umfeld in Tunesien vorhanden sind. Er verfügt im Heimatstaat über ein familiäres Beziehungsnetz. Hierzu hat die Vorinstanz über die Botschaft die Namen der Eltern ermittelt, eine Kontaktadresse erhalten und die Information, dass der Beschwerdeführer in einer Privatschule eingeschrieben ist. Des Weiteren ist aktenkundig, dass der Vater des Beschwerdeführers dem Visumsantrag ein schriftliches Einverständnis zum Verlassen des Landes für seinen minderjährigen Sohn beigelegt hatte. Weitere Abklärungen sind vorliegend nicht notwendig und die Verfügung der Vorinstanz verstösst auch nicht gegen das Übereinkommen über die Rechte des Kindes (KRK, SR 0.107). Der Wegweisungsvollzug ist zumutbar.</w:t>
      </w:r>
    </w:p>
    <w:p>
      <w:r>
        <w:rPr>
          <w:b/>
        </w:rPr>
        <w:t>E. 6.4</w:t>
      </w:r>
    </w:p>
    <w:p>
      <w:r>
        <w:t>Der Vollzug der Wegweisung ist schliesslich nach Art. 83 Abs. 2 AuG auch als möglich zu bezeichnen, weil es dem Beschwerdeführer obliegt, sich bei der zuständigen Vertretung seines Heimatstaats die für eine Rückkehr notwendigen Reisedokumente zu beschaffen (Art. 8 Abs. 4 AsylG und dazu BVGE 2008/34 E. 12).</w:t>
      </w:r>
    </w:p>
    <w:p>
      <w:r>
        <w:rPr>
          <w:b/>
        </w:rPr>
        <w:t>E. 7</w:t>
      </w:r>
    </w:p>
    <w:p>
      <w:r>
        <w:t>Aus diesen Erwägungen ergibt sich, dass die angefochtene Verfügung Bundesrecht nicht verletzt und auch sonst nicht zu beanstanden ist (Art. 106 AsylG).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 gleichen Grund kann auch dem Gesuch um unentgeltliche Rechtsverbeiständung im Sinne von Art. 65 Abs. 2 VwVG nicht stattgegeben werden.</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