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E-2930/2008 vom 2. Dezember 2009</w:t>
      </w:r>
    </w:p>
    <w:p>
      <w:r>
        <w:t>Bundesverwaltungsgericht, 2009-12-02, DE</w:t>
      </w:r>
    </w:p>
    <w:p>
      <w:r>
        <w:rPr>
          <w:b/>
        </w:rPr>
        <w:t xml:space="preserve">Quelle: </w:t>
      </w:r>
      <w:r>
        <w:t>https://mcp.opencaselaw.ch/entscheid/bvger_E-2930_2008</w:t>
      </w:r>
    </w:p>
    <w:p>
      <w:r>
        <w:t>FR: TAF E-2930/2008 du 2 décembre 2009</w:t>
      </w:r>
    </w:p>
    <w:p>
      <w:r>
        <w:t>IT: TAF E-2930/2008 del 2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der Beschwerdeführerin weder den Anforderungen an das Glaubhaftmachen gemäss Art. 7 AsylG noch denjenigen an die Flüchtlingseigenschaft gemäss Art. 3 AsylG standhalten würden. Zur Begründung führte es aus, im Verlaufe des Verfahrens habe sich die Beschwerdeführerin in wesentlichen Punkten unterschiedlich geäussert. Anlässlich der Erstbefragung habe sie ausgeführt, sie sei zusammen mit ihrem Onkel verhaftet, in ein ihr unbekanntes Haus gebracht und dort vergewaltigt worden. Ihr Onkel sei in dasselbe Gefängnis überführt worden, in welchem auch D._______ inhaftiert gewesen sei. Demgegenüber habe sie vor dem Kanton ausgesagt, zusammen mit ihrem Onkel in eine Zelle gebracht worden zu sein. Aufgrund dieser unterschiedlichen Versionen sei zu schliessen, dass die Beschwerdeführerin den dargelegten Sachverhalt unter den geschilderten Bedingungen nicht erlebt habe. Sodann sei, selbst wenn von der Glaubhaftigkeit des Sachverhaltes auszugehen wäre, vorliegend der erforderliche zeitliche Kausalzusammenhang zwischen der Inhaftierung (Februar 2005) und der Ausreise (Juni 2006) nicht mehr gegeben. Schliesslich genüge nach Lehre und Praxis allein der Umstand nicht, von einer Drittperson erfahren zu haben, dass man gesucht werde, um berechtigte Furcht vor einer mit erheblicher Wahrscheinlichkeit drohenden Verfolgung zu begründen. Demzufolge sowie angesichts der Tatsache, dass weder das von der Beschwerdeführerin mehrfach kopierte Dokument noch andere Indizien vorliegen würden, die auf eine staatliche Suche schliessen liessen, stelle das BFM fest, dass keine begründete Furcht vor einer in absehbarer Zukunft bevorstehenden Verfolgung bestehe.</w:t>
      </w:r>
    </w:p>
    <w:p>
      <w:r>
        <w:rPr>
          <w:b/>
        </w:rPr>
        <w:t>E. 4.2</w:t>
      </w:r>
    </w:p>
    <w:p>
      <w:r>
        <w:t>In der Rechtsmitteleingabe hält die Beschwerdeführerin an der Glaubhaftigkeit ihrer Vorbringen fest und führt aus, das BFM habe sie zu Unrecht nicht als Flüchtling anerkannt. Sie sei zusammen mit ihrem Onkel im gleichen Auto zu einem Haus gefahren worden. Zunächst habe sie ihren Onkel schreien gehört. Später sei er ins Gefängnis überführt worden, in welchem auch D._______ in Haft gehalten worden sei. Sie habe ihr Heimatland nicht nur wegen der erlittenen Vergewaltigung verlassen, sondern weil sie befürchtet habe, wieder inhaftiert und vergewaltigt zu werden. Sie werde heute gesucht, weil sie Flugblättern gegen die Inhaftierung von D._______ und ihren Onkel angefertigt habe. Sodann habe sie von mehreren Bekannten erfahren, dass sie vom Militär gesucht worden sei. Auch habe der Freund ihres Onkels Nachforschungen angestellt, um herauszufinden, ob diese Suche auch ernsthaft und sie in Gefahr sei. Erst nach diesen Erkenntnissen habe sie das Heimatland verlassen. Sie werde aufgrund ihrer politischen Anschauungen gesucht und befürchte, bei einer Rückkehr getötet zu werden.</w:t>
      </w:r>
    </w:p>
    <w:p>
      <w:r>
        <w:rPr>
          <w:b/>
        </w:rPr>
        <w:t>E. 4.3</w:t>
      </w:r>
    </w:p>
    <w:p>
      <w:r>
        <w:t>Die Beschwerdeführerin hat anlässlich der beiden Befragungen den Ablauf der Inhaftierung ihres Onkels unterschiedlich dargestellt. In der Rechtsmitteleingabe führt sie dazu aus, der Onkel habe sich zunächst im gleichen Haus wie sie befunden, anschliessend sei er ins Gefängnis überführt worden. Indem die Beschwerdeführerin in der Rechtsmitteleingabe beide Versionen miteinander in Einklang zu bringen versucht, vermag sie die bestehenden Unstimmigkeiten nicht überzeugend zu klären. Vielmehr ist diese Vorgehensweise als nachträgliche und damit nicht glaubhafte Sachverhaltsanpassung zu werten, aus welcher die Beschwerdeführerin nichts zu ihren Gunsten abzuleiten vermag. Damit ist es der Beschwerdeführerin nicht gelungen, glaubhaft zu machen, dass sie zusammen mit ihrem Onkel aufgrund des Verschwindens der Waffen aus dem Militärcamp E._______ verhaftet und misshandelt wurde. Vor diesem Hintergrund wird auch ernsthaft bezweifelt, dass die Beschwerdeführerin Flugblätter anfertigte und - obwohl noch nicht verteilt beziehungsweise aufgehängt - deshalb vom Militär gesucht wurde. Schliesslich will die Beschwerdeführerin noch in derselben Nacht in welcher sie von der Suche nach ihr erfahren habe, Brazzaville verlassen haben. In Anbetracht der sehr knappen zeitlichen Verhältnisse können die Freunde des Onkels der Beschwerdeführerin wohl kaum seriöse Nachforschungen betreffend die Gefährdung der Beschwerdeführerin getätigt haben. Insoweit ist auch der angeführte Benachrichtigung durch Bekannte aus dem Quartier und der darauf abgestützten Furcht der Beschwerdeführerin vor künftiger Verfolgung die Grundlage entzogen. Begründete Furcht vor Verfolgung liegt nämlich nur dann vor, wenn konkreter Anlass zur Annahme besteht, die Verfolgung habe vor der Ausreise mit beachtlicher Wahrscheinlichkeit stattgefunden und/oder werde mit ebensolcher Wahrscheinlichkeit in absehbarer Zeit geschehen (vgl. BVGE 2007/31 E. 5.2 ff). Sodann ist mit dem BFM und entgegen der von der Beschwerdeführerin vertretenen Ansicht festzustellen, dass selbst wenn die Vorbringen als glaubhaft zu beurteilen wären, vorliegend der erforderliche zeitliche und sachliche Kausalzusammenhang zwischen der Inhaftierung und Vergewaltigung im März 2005 und der Ausreise im Juni 2006 offensichtlich nicht mehr gegeben ist. Um diesbezüglich Wiederholungen zu vermeiden, kann vollumfänglich auf die Erwägungen in der angefochtenen Verfügung verwiesen werden.</w:t>
      </w:r>
    </w:p>
    <w:p>
      <w:r>
        <w:rPr>
          <w:b/>
        </w:rPr>
        <w:t>E. 4.4</w:t>
      </w:r>
    </w:p>
    <w:p>
      <w:r>
        <w:t>Zusammenfassend ist festzuhalten, dass es der Beschwerdeführerin nicht gelungen ist, eine asylrechtlich relevante Verfolgung glaubhaft zu machen. Die Vorinstanz hat demnach das Asylgesuch der Beschwerdeführerin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Walter Stöckli in Uebersax/Rudin/Hugi Yar/Geiser, Ausländerrecht, 2. Aufl., Basel 2009, §11 Asyl, S. 542. f., Minh Son Nguyen, Droit public des étrangers, Bern 2003, S. 448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Der im Jahre 1998 wieder aufgeflammte Bürgerkrieg im Kongo (Brazzaville) wurde durch Unterzeichnung des Friedensabkommens im Jahre 1999 beendet. Am 9. August 2002 trat die neue Verfassung in Kraft trat; seitdem ist Kongo (Brazzaville) eine präsidiale Republik. Die nach Einführung der neuen Verfassung durchgeführten Präsidentschaftswahlen bestätigten im März 2002 Denis Sassou-Nguesso im Amt. Seither kehrten mehrere ehemalige Rivalen von Präsident Sassou-Nguesso ins Land zurück. In der Folge gelang es dem Präsidenten, durch eine Politik der Einbindung der politischen Rivalen und der ehemaligen Milizenführer aus der Region Pool, die politische Lage im Land zu stabilisieren. Anlässlich der neusten Präsidentenwahlen am 12. Juli 2009 wurde Sassou-Nguesso mit einem Stimmenanteil von 78,6 % erneut im Amt bestätigt. Vor diesem Hintergrund kann im heutigen Zeitpunkt nicht mehr von einer Kriegs-, Bürgerkriegs- oder einer Situation allgemeiner Gewalt in Kongo (Brazzaville) gesprochen werden.</w:t>
      </w:r>
    </w:p>
    <w:p>
      <w:r>
        <w:rPr>
          <w:b/>
        </w:rPr>
        <w:t>E. 6.4.3</w:t>
      </w:r>
    </w:p>
    <w:p>
      <w:r>
        <w:t>Sodann sind den Akten keine weiteren Hinweise zu entnehmen, wonach der Vollzug der Wegeweisung in den Heimatstaat nicht zumutbar wäre. Die Beschwerdeführerin wurde in Brazzaville geboren, hat dort die Schulen besucht und bis zu ihrer Ausreise gelebt. Gemäss ihren Angaben leben ihre Mutter sowie vier Halbgeschwister im Alter von acht bis 23 Jahren nach wie vor in Brazzaville. Ferner ergibt sich aufgrund der Akten, dass die Beschwerdeführerin noch zwei Töchter hat, die ebenfalls in Brazzaville leben. Die zwölfjährige Tochter H._______ lebt bei ihrem Vater und die vierjährige Tochter I._______ bei der Mutter der Beschwerdeführerin. Ferner ist festzuhalten, dass ein Freund des Onkels der Beschwerdeführerin ihr bei der Ausreise behilflich war. Bei dieser Sachlage kann davon ausgegangen werden, dass die Beschwerdeführerin an ihrem Herkunftsort über ein solides Beziehungsnetz verfügt. Sodann ergibt sich aufgrund der Akten, dass die Beschwerdeführerin bereits vor der Ausreise bei ihrer Mutter gelebt hat. In der Replik wendet sie diesbezüglich zwar ein, ihre Mutter lebe mit den eigenen Kindern und ihrer Tochter I._______ in einem kleinen Haus und sei arm. Dazu ist festzustellen, dass die Beschwerdeführerin über eine Ausbildung als Schneiderin und Berufserfahrungen verfügt. Auch wenn sie Mutter eines Kleinkindes ist und in den vergangenen Jahren nicht auf ihrem Beruf gearbeitet hat, ist ihr zuzumuten, sich bei einer Rückkehr um eine Anstellung zu bemühen. Namentlich sollte sie ihr jüngstes Kind zu ihrer Mutter, welche nebst den eigenen Kinder auch die Tochter I._______ betreut und nicht berufstätig ist, in Obhut geben und selber einer Arbeit nachgehen können. Bei dieser Sachlage ist davon auszugehen, dass die Beschwerdeführerin bei einer Rückkehr in den Heimatstaat nicht in eine ihre Existenz bedrohende Situation geraten wird und eine neue Existenz wird aufbauen können. Damit erweist sich der Vollzug der Wegweisung auch als zumutbar.</w:t>
      </w:r>
    </w:p>
    <w:p>
      <w:r>
        <w:rPr>
          <w:b/>
        </w:rPr>
        <w:t>E. 6.5</w:t>
      </w:r>
    </w:p>
    <w:p>
      <w:r>
        <w:t>Schliesslich obliegt es der Beschwerdeführerin, sich bei der zuständigen Vertretung des Heimatstaates die für eine Rückkehr notwendigen Reisedokumente für sich und ihre Tochter B._______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Beschwerdeführerin beantragt die unentgeltliche Rechtspflege nach Art. 65 Abs. 1 VwVG. Gemäss dieser Bestimmung wird von der Erhebung von Verfahrenskosten abgesehen, wenn die Beschwerdeführerin nicht über die erforderlichen Mittel verfügt und ihre Begehren nicht aussichtslos erscheinen.</w:t>
      </w:r>
    </w:p>
    <w:p>
      <w:r>
        <w:rPr>
          <w:b/>
        </w:rPr>
        <w:t>E. 9.2</w:t>
      </w:r>
    </w:p>
    <w:p>
      <w:r>
        <w:t>Die Bedürftigkeit der Beschwerdeführerin ist aufgrund der Akten ausgeweisen. Sodann ist das Beschwerdeverfahren nicht als offensichtlich aussichtslos zu bezeichnen, weshalb das Gesuch um Gewährung der unentgeltlichen Rechtspflege gemäss Art. 65 Abs. 1 VwVG gutzuheissen ist. Der Beschwerdeführerin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