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E-2923/2021 vom 30. Juni 2021</w:t>
      </w:r>
    </w:p>
    <w:p>
      <w:r>
        <w:t>Bundesverwaltungsgericht, 2021-06-30, DE</w:t>
      </w:r>
    </w:p>
    <w:p>
      <w:r>
        <w:rPr>
          <w:b/>
        </w:rPr>
        <w:t xml:space="preserve">Quelle: </w:t>
      </w:r>
      <w:r>
        <w:t>https://mcp.opencaselaw.ch/entscheid/bvger_E-2923_2021</w:t>
      </w:r>
    </w:p>
    <w:p>
      <w:r>
        <w:t>FR: TAF E-2923/2021 du 30 juin 2021</w:t>
      </w:r>
    </w:p>
    <w:p>
      <w:r>
        <w:t>IT: TAF E-2923/2021 del 30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Soweit den Antrag auf Aufhebung der Dispositivziffer 6 betreffend Datenänderung im ZEMIS, ist festzuhalten, dass dieses Begehren nicht Gegenstand des vorliegenden Beschwerdeverfahrens bildet. Dieses Rechtsbegehren wird separat im Beschwerdeverfahren E-2951/2021 behandelt.</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1.6</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2.4</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vorliegend der Fall, findet demgegenüber grundsätzlich keine (erneute) Zuständigkeitsprüfung nach dem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(vgl. Art. 3 Abs. 2 Dublin-III-VO).</w:t>
      </w:r>
    </w:p>
    <w:p>
      <w:r>
        <w:rPr>
          <w:b/>
        </w:rPr>
        <w:t>E. 2.5</w:t>
      </w:r>
    </w:p>
    <w:p>
      <w:r>
        <w:t>Der nach dieser Verordnung zuständige Mitgliedstaat ist verpflichtet, die antragstellende Person, deren Antrag abgelehnt wurde und die in einem anderen Mitgliedstaat einen Antrag gestellt hat oder die sich im Hoheitsgebiet eines anderen Mitgliedstaats ohne Aufenthaltstitel aufhält, wiederaufzunehmen (Art. 18 Abs. 1 Bst. d Dublin-III-VO). Die Dublin-III-VO räumt den Schutzsuchenden kein Recht ein, den ihren Antrag prüfenden Staat selber auszuwählen (vgl. BVGE 2010/45 E. 8.3). Schliesslich gilt das Prinzip der Überprüfung eines Asylgesuchs durch einen einzigen Mitgliedstaat («one chance only»), welches der Vermeidung von multiplen Asylgesuchen in verschiedenen Staaten dient (Art. 3 Abs. 1 Dublin-III-VO).</w:t>
      </w:r>
    </w:p>
    <w:p>
      <w:r>
        <w:rPr>
          <w:b/>
        </w:rPr>
        <w:t>E. 2.6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3.1</w:t>
      </w:r>
    </w:p>
    <w:p>
      <w:r>
        <w:t>Ein Abgleich der Fingerabdrücke des Beschwerdeführers mit der Eurodac»-Datenbank ergab, dass er bereits in Österreich um Asyl nachgesucht hatte. Die österreichischen Behörden wurden um Übernahme des Beschwerdeführers angefragt und stimmten dem Übernahmeersuchen am 15. März 2021 gestützt auf Art. 18 Abs. 1 Bst. d Dublin-III-VO unter Verweis auf ein in Österreich durchgeführtes Asylverfahren zu. Die grundsätzliche Zuständigkeit Österreichs zum "take back" ist somit gegeben.</w:t>
      </w:r>
    </w:p>
    <w:p>
      <w:r>
        <w:rPr>
          <w:b/>
        </w:rPr>
        <w:t>E. 3.2.1</w:t>
      </w:r>
    </w:p>
    <w:p>
      <w:r>
        <w:t>In Bezug auf Österreich liegen sodann keine Anhaltspunkte im Sinne des Art. 3 Abs. 2 Dublin-III-VO vor, wonach das Asylverfahren und die Aufnahmebedingungen für Asylsuchende systemische Schwachstellen aufweisen würden, die eine Gefahr einer unmenschlichen oder entwürdigenden Behandlung im Sinne des Artikels 4 der EU-Grundrechtecharta mit sich bringen würden und nach Art. 17 Abs. 1 Dublin-III-VO das Selbsteintrittsrecht auszuüben wäre.</w:t>
      </w:r>
    </w:p>
    <w:p>
      <w:r>
        <w:rPr>
          <w:b/>
        </w:rPr>
        <w:t>E. 3.2.2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w:t>
      </w:r>
    </w:p>
    <w:p>
      <w:r>
        <w:rPr>
          <w:b/>
        </w:rPr>
        <w:t>E. 3.3</w:t>
      </w:r>
    </w:p>
    <w:p>
      <w:r>
        <w:t>Unter diesen Umständen ist die Anwendung von Art. 3 Abs. 2 Dublin-III-VO nicht gerechtfertigt.</w:t>
      </w:r>
    </w:p>
    <w:p>
      <w:r>
        <w:rPr>
          <w:b/>
        </w:rPr>
        <w:t>E. 4.1</w:t>
      </w:r>
    </w:p>
    <w:p>
      <w:r>
        <w:t>Es gebietet sich vorliegend sodann auch kein (zwingender) Selbsteintritt gestützt auf Art. 17 Dublin-III-VO und Art. 3 EMRK.</w:t>
      </w:r>
    </w:p>
    <w:p>
      <w:r>
        <w:rPr>
          <w:b/>
        </w:rPr>
        <w:t>E. 4.2.1</w:t>
      </w:r>
    </w:p>
    <w:p>
      <w:r>
        <w:t>In Bezug auf die medizinischen Gründe ist Folgendes festzustellen: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4.2.2</w:t>
      </w:r>
    </w:p>
    <w:p>
      <w:r>
        <w:t>Eine solche Situation ist vorliegend nicht gegeben. Aus den Arztberichten des (...), psychiatrische Dienste, vom 29. April und 27. Mai 2021 sowie von B._______ vom 26. Mai 2021 geht hervor, dass der Beschwerdeführer an einer (...) sowie vergrösserten (...) am (...) leidet. Bei der diagnostizierten psychischen Beeinträchtigung handelt es sich zwar um eine ernstzunehmende Erkrankung. Den ärztlichen Berichten lässt sich indes nicht entnehmen, dass der Beschwerdeführer nicht reisefähig sei oder eine Überstellung seine Gesundheit ernsthaft gefährden würde (vgl. Beschwerdebeilagen). Sein Gesundheitszustand vermag eine Unzulässigkeit im Sinne der erwähnten, restriktiven Rechtsprechung nicht zu rechtfertigen. Die gesundheitlichen Probleme sind auch nicht von einer derartigen Schwere, dass aus humanitären Gründen von einer Überstellung abgesehen werden müsste.</w:t>
      </w:r>
    </w:p>
    <w:p>
      <w:r>
        <w:rPr>
          <w:b/>
        </w:rPr>
        <w:t>E. 4.2.3</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würden, zumal der Beschwerdeführer dort bereits in Behandlung war (vgl. SEM-Akte [...]-11/11 Ziff. 2.06, 8.02). Es ist davon auszugehen, dass der Beschwerdeführer bei einer Rückkehr diese Behandlung wiederaufnehmen kann und auch in Bezug auf seine psychischen Erkrankungen die benötigte medizinische Behandlung erhalten wird.</w:t>
      </w:r>
    </w:p>
    <w:p>
      <w:r>
        <w:rPr>
          <w:b/>
        </w:rPr>
        <w:t>E. 4.2.4</w:t>
      </w:r>
    </w:p>
    <w:p>
      <w:r>
        <w:t>Die schweizerischen Behörden, die mit dem Vollzug der angefochtenen Verfügung beauftragt sind, haben den medizinischen Umständen bei der Bestimmung der konkreten Modalitäten der Überstellung des Beschwerdeführers Rechnung zu tragen und die österreichischen Behörden gegebenenfalls vorgängig in geeigneter Weise über die spezifischen medizinischen Umstände informieren (vgl. Art. 31 f. Dublin-III-VO). Ausschlaggebend für den weiteren Verlauf des Verfahrens ist einzig die Reisefähigkeit, welche - wie das SEM in seiner Verfügung festgehalten hat - kurz vor der Überstellung definitiv beurteilt wird.</w:t>
      </w:r>
    </w:p>
    <w:p>
      <w:r>
        <w:rPr>
          <w:b/>
        </w:rPr>
        <w:t>E. 4.3.1</w:t>
      </w:r>
    </w:p>
    <w:p>
      <w:r>
        <w:t>Ein zwingender Selbsteintritt gebietet sich sodann auch nicht unter dem Aspekt des Kindeswohls. Das Gericht geht nämlich mit der Vorinstanz davon aus, dass der Beschwerdeführer eine bestehende Minderjährigkeit nicht glaubhaft machen konnte. Diesbezüglich ist auf die einlässlichen vorinstanzlichen Erwägungen zu verweisen, denen auf Beschwerdeebene nichts Relevantes entgegengehalten wird. Zur Ergänzung ist Folgendes auszuführen:</w:t>
      </w:r>
    </w:p>
    <w:p>
      <w:r>
        <w:rPr>
          <w:b/>
        </w:rPr>
        <w:t>E. 4.3.2</w:t>
      </w:r>
    </w:p>
    <w:p>
      <w:r>
        <w:t>Die Beurteilung der Glaubhaftmachung der Minderjährigkeit erfolgt im Rahmen einer Gesamtwürdigung. Es ist eine Abwägung sämtlicher Anhaltspunkte, welche für oder gegen die Richtigkeit der betreffenden Altersangaben sprechen, vorzunehmen (vgl. BVGE 2009/54 E. 4.1). 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Asylverordnung 1 vom 11. August 1999 [AsylV 1, SR 142.311]).</w:t>
      </w:r>
    </w:p>
    <w:p>
      <w:r>
        <w:rPr>
          <w:b/>
        </w:rPr>
        <w:t>E. 4.3.3</w:t>
      </w:r>
    </w:p>
    <w:p>
      <w:r>
        <w:t>Eine Rückweisung des Verfahrens an die Vorinstanz wegen Verfahrenspflichtverletzungen, im Zusammenhang mit der Beurteilung der geltend gemachten Minderjährigkeit kommt vorliegend nicht in Betracht. Es wird eine Verletzung der Abklärungspflicht dahingehend gerügt, dass die Vorinstanz die Verfahrensakten der österreichischen Behörden nicht beigezogen habe. Hierzu ist festzustellen, dass die Vorinstanz zum Beizug der Verfahrensakten Österreichs nicht verpflichtet ist, sondern der Verfahrensgang nach den Bestimmungen der Dublin-III-VO und deren Ausführungsbestimmungen zu gewähren ist. Dieses Verfahren wurde vorliegend eingehalten. Es ergeben sich auch keine Verfahrenspflichtverletzungen hinsichtlich der Abklärung zur angegebenen Minderjährigkeit durch ein Altersgutachten. Die Vorinstanz erachtete aus sachlichen Gründen eine Altersabklärung nach Art. 17 Abs. 3bis AsylG i.V.m. Art. 7 Abs. 1 AsylV 1 als geboten. Dem Beschwerdeführer wurde hierzu im Vorfeld der Abklärung im Beisein seiner Rechtsvertreterin das rechtliche Gehör gewährt, ebenso zum Abklärungsergebnis und zur Annahme der Volljährigkeit. Damit wurde den Verfahrensrechten vollumfänglich Genüge getan.</w:t>
      </w:r>
    </w:p>
    <w:p>
      <w:r>
        <w:rPr>
          <w:b/>
        </w:rPr>
        <w:t>E. 4.3.4</w:t>
      </w:r>
    </w:p>
    <w:p>
      <w:r>
        <w:t>Der Beschwerdeführer hat keine Identitätspapiere oder andere Dokumente zu den Akten gereicht, mit welchen er sein Geburtsdatum glaubhaft machen kann. Seine Angaben zur familiären Situation und den Umständen in seinem Heimatstaat, die Rückschlüsse auf sein Alter zulassen könnten, fielen rudimentär aus. Das von der Vorinstanz in Auftrag gegebene medizinische Altersgutachten kommt zum Schluss, dass der Beschwerdeführer ein Mindestalter von 19 Jahren aufweist. Das Bundesverwaltungsgericht hat sich zur Beweistauglichkeit dieser Altersabklärung in grundsätzlicher Art geäussert (BVGE 2018 VI/3). Praxisgemäss können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sein.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Volljährigkeit liegt vor, wenn das Mindestalter bei der Schlüsselbein- respektive Skelettaltersanalyse oder der zahnärztlichen Untersuchung über 18 Jahren liegt und die sich anhand der beiden Analysen ergebenden Altersspannen überlappen (vgl. a.a.O. E. 4.2.2). Dies ist vorliegend der Fall. Gemäss Gutachten ergibt die Schlüsselbeinanalyse ein Durchschnittsalter von 23 Jahren (23.6+/-2.6) sowie ein Mindestalter von 19 Jahren. Die Weisheitszähne weissen ein Mineralisationsstadium H auf, was auf ein Mindestalter von 17 bis 17.4 Jahren schliessen lässt und auf ein Durchschnittalter von 22 Jahren (vgl. SEM-Akte [...]-22/9 S. 4 f.).</w:t>
      </w:r>
    </w:p>
    <w:p>
      <w:r>
        <w:rPr>
          <w:b/>
        </w:rPr>
        <w:t>E. 4.3.5</w:t>
      </w:r>
    </w:p>
    <w:p>
      <w:r>
        <w:t>Der Beschwerdeführer hat sodann im Asylverfahren in Österreich als Geburtsdatum den (...) angegeben, gemäss welchem er nunmehr ebenfalls volljährig ist. Sofern er vorbringt, er habe dieses Alter bewusst angegeben, um sich im österreichischen Zentrum freier bewegen zu können, da unter (...)-Jährige sich nicht aus der Unterkunft hätten entfernen können, ist dies als Schutzbehauptung zu werten, zumal sein Asylgesuch in Österreich erst mit Entscheid vom 18. Januar 2021 abgewiesen wurde und nicht plausibel dargelegt wird, warum der Beschwerdeführer kein Interesse daran gehabt haben soll, seine Minderjährigkeit im weiteren Verlauf des Verfahrens offen zu legen, ist diese doch nach seiner Auffassung ein Aspekt, der einer Wegweisung nach Afghanistan entgegensteht. Die Annahme des SEM, wonach die österreichischen Behörden sich bei unterstelltem Geburtsdatum (...) (wie in der Schweiz angegeben) einem (...)-Jährigen Asylsuchenden gegenübergesehen hätten und anzunehmen sei, dass sie diesbezüglich Feststellungen getroffen hätten in Bezug auf das von ihm angegebene Alter von knapp (...) Jahren, teilt das Gericht. Die Beschwerdeausführungen sind diesbezüglich nicht überzeugend.</w:t>
      </w:r>
    </w:p>
    <w:p>
      <w:r>
        <w:rPr>
          <w:b/>
        </w:rPr>
        <w:t>E. 4.3.6</w:t>
      </w:r>
    </w:p>
    <w:p>
      <w:r>
        <w:t>In der Gesamtschau aller Aspekte gilt der Beschwerdeführer nach Ansicht des Gerichts als volljährig, weshalb Fragen des Kindeswohls vorliegend nicht einzufliessen haben.</w:t>
      </w:r>
    </w:p>
    <w:p>
      <w:r>
        <w:rPr>
          <w:b/>
        </w:rPr>
        <w:t>E. 4.4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w:t>
      </w:r>
    </w:p>
    <w:p>
      <w:r>
        <w:t>Nach dem Gesagten besteht kein Grund für eine Anwendung der Ermessensklauseln von Art. 17 Dublin-III-VO. Es besteht kein Anlass, die angefochtene Verfügung aufzuheben und auf das Asylgesuch einzutreten beziehungsweise die Sache zur ergänzenden Sachverhaltsabklärung an die Vorinstanz zurückzuweisen. Somit bleibt Österreich der für die Durchführung des Asyl- und Wegweisungsverfahrens zuständige Mitgliedstaat gemäss Dublin-III-VO.</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Verfügung des SEM zu bestätigen und die Beschwerde abzuweisen.</w:t>
      </w:r>
    </w:p>
    <w:p>
      <w:r>
        <w:rPr>
          <w:b/>
        </w:rPr>
        <w:t>E. 8</w:t>
      </w:r>
    </w:p>
    <w:p>
      <w:r>
        <w:t>Mit dem vorliegenden Urteil fällt der am 25. Juni 2021 angeordnete Vollzugsstopp dahin. Das Gesuch um aufschiebende Wirkung der Beschwerde ist gegenstandslos geworden.</w:t>
      </w:r>
    </w:p>
    <w:p>
      <w:r>
        <w:rPr>
          <w:b/>
        </w:rPr>
        <w:t>E. 9.1</w:t>
      </w:r>
    </w:p>
    <w:p>
      <w:r>
        <w:t>Aus den vorstehenden Erwägungen ergibt sich, dass die Beschwerdebegehren bereits bei Einreichung des Rechtsmittels als aussichtslos zu gelten hatten. Damit ist - ungeachtet der Frage der prozessualen Bedürftigkeit - eine der kumulativ zu erfüllenden Voraussetzungen für die Gewährung der unentgeltlichen Rechtspflege nach Art. 65 Abs. 1 VwVG nicht erfüllt. Das entsprechende Gesuch ist abzuweisen. Das Gesuch um Verzicht auf die Kostenvorschusserhebung ist mit dem vorliegenden Entscheid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