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E-2921/2013 vom 29. Mai 2013</w:t>
      </w:r>
    </w:p>
    <w:p>
      <w:r>
        <w:t>Bundesverwaltungsgericht, 2013-05-29, DE</w:t>
      </w:r>
    </w:p>
    <w:p>
      <w:r>
        <w:rPr>
          <w:b/>
        </w:rPr>
        <w:t xml:space="preserve">Quelle: </w:t>
      </w:r>
      <w:r>
        <w:t>https://mcp.opencaselaw.ch/entscheid/bvger_E-2921_2013</w:t>
      </w:r>
    </w:p>
    <w:p>
      <w:r>
        <w:t>FR: TAF E-2921/2013 du 29 mai 2013</w:t>
      </w:r>
    </w:p>
    <w:p>
      <w:r>
        <w:t>IT: TAF E-2921/2013 del 29 maggio 2013</w:t>
      </w:r>
    </w:p>
    <w:p>
      <w:pPr>
        <w:pStyle w:val="Heading2"/>
      </w:pPr>
      <w:r>
        <w:t>Regeste</w:t>
      </w:r>
    </w:p>
    <w:p>
      <w:r>
        <w:t>Flughafenverfahren (Asyl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zu behandeln (Art. 111a Abs. 1 AsylG).</w:t>
      </w:r>
    </w:p>
    <w:p>
      <w:r>
        <w:rPr>
          <w:b/>
        </w:rPr>
        <w:t>E. 3.1</w:t>
      </w:r>
    </w:p>
    <w:p>
      <w:r>
        <w:t>Gemäss Art. 7 AsylG muss die Flüchtlingseigenschaft nachweisen oder zumindest glaubhaft machen, wer um Asyl nachsucht.</w:t>
      </w:r>
    </w:p>
    <w:p>
      <w:r>
        <w:rPr>
          <w:b/>
        </w:rPr>
        <w:t>E. 3.2</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w:t>
      </w:r>
    </w:p>
    <w:p>
      <w:r>
        <w:t>Die Vorinstanz gelangt in der angefochten Verfügung zum Schluss, die Vorbringen des Beschwerdeführers hielten den Anforderungen an das Glaubhaftmachen gemäss Art. 7 AsylG nicht stand. Die Kenntnisse des Beschwerdeführers über die Ahmadi seien einerseits ungenau, andererseits falsch. Dies betreffe unter anderem den Namen des Gründers und das Gründungsdatum der Religion. Sodann sei die eingereichte Karte nicht geeignete, die Religionszugehörigkeit zu belegen. Weiter habe sich der Beschwerdeführer in wesentlichen Punkte seiner Asylbegründung unvereinbar geäussert. Anlässlich der Erstbefragung habe er verneint, persönlich und direkt bedroht worden zu sein. Vielmehr habe seine Mutter die für ihn bestimmten Drohungen erhalten. Demgegenüber habe er anlässlich der Befragung ausgesagt, neben schriftlichen Drohungen sei er auch mündlich bedroht sowie geschlagen worden, einmal so stark, dass er ins Spital habe gebracht werden müssen. Schliesslich würden die Angaben zur Ausreise nicht zu überzeugen vermögen. Es sei nicht glaubhaft, dass die Mutter den Beschwerdeführer Mitten in der Nacht geweckt habe und er bis zu diesem Zeitpunkt nicht gewusst habe, dass er das Land verlassen werde. Darüber hinaus widerspreche es der allgemeinen Erfahrung, dass der Beschwerdeführer keine Kenntnisse über das Ziel seiner Reise gehabt habe.</w:t>
      </w:r>
    </w:p>
    <w:p>
      <w:r>
        <w:rPr>
          <w:b/>
        </w:rPr>
        <w:t>E. 5.1</w:t>
      </w:r>
    </w:p>
    <w:p>
      <w:r>
        <w:t>Der Beschwerdeführer macht geltend, die Vorinstanz gehe von einem unrichtigen und unvollständig festgestellten Sachverhalt aus.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 Soweit der Beschwerdeführer zur Begründung der Rüge den bereits aktenkundigen Sachverhalt wiederholt, ist darauf nicht weiter einzugehen. Weitergehend zeigt er nicht auf noch ist ersichtlich, inwieweit die Sachverhaltsfeststellung im Lichte der einschlägigen Rechtsnormen unrichtig oder unvollständig sein sollte. Die Vorbringen richten sich nicht gegen die Sachverhaltsfeststellungen der Vorinstanz, sondern gegen die ihr zugrundliegende Beweiswürdigung und die rechtliche Würdigung der Vorbringen. Darauf ist nachfolgend einzugehen.</w:t>
      </w:r>
    </w:p>
    <w:p>
      <w:r>
        <w:rPr>
          <w:b/>
        </w:rPr>
        <w:t>E. 5.2</w:t>
      </w:r>
    </w:p>
    <w:p>
      <w:r>
        <w:t>Der Beschwerdeführer hält in der Eingabe an der Glaubhaftigkeit seiner Vorbringen fest und macht damit geltend, die Vorinstanz habe den Massstab des Glaubhaftmachens nicht richtig angewendet und damit Bundesrecht verletzt. Zudem habe sie diesbezüglich ihr Ermessen überschritten. Die Beweiswürdigung der Vorinstanz ist nicht zu beanstanden. Sie begründet in der angefochtenen Verfügung einlässlich, welche Vorbringen im Einzelnen unrichtig, widersprüchlich oder realitätsfremd sind oder der allgemeinen Erfahrung widersprechen. Was in der Rechtsmitteleingabe dagegen vorgebracht wird, ist nicht geeignet, die Aussagen des Beschwerdeführers in einem anderen Licht erscheinen zu lassen. Der Beschwerdeführer konnte weder den Gründer noch das Gründungsjahr der Glaubensgemeinschaft der Ahmadi, mithin zwei wesentliche Grundangaben zu dieser Religion nennen. Insoweit bestehen nachhaltige Zweifel an der geltend gemachten Religionszugehörigkeit. Sodann hat sich der Beschwerdeführer in einem absolut zentralen Punkt seiner Asylbegründung unvereinbar geäussert. Anlässlich der Erstbefragung hat er ausdrücklich verneint, persönlich Drohungen erhalten zu haben. Es sei ausschliesslich seine Mutter gewesen, welche die ihn betreffenden Drohungen erhalten habe. Er sei einzig einmal aufgefordert worden, das Kalima zu sprechen (vgl. Protokoll BzP vom 29. April 2013, Ziff. 7.02). Demgegenüber gab er anlässlich der Anhörung zu Protokoll, er sei in verschiedenen Formen persönlich bedroht und sogar geschlagen worden, wobei er deshalb sogar einmal habe hospitalisiert werden müssen. In Anbetracht dessen, dass die Drohungen den Anlass zum Verlassen des Heimatlandes bildeten, dürfen vom Beschwerdeführer diesbezüglich übereinstimmende Aussagen erwartet werden. Mit dem Hinweis auf die Ausführlichkeit der Anhörung vermag der Beschwerdeführer diese offensichtliche Unvereinbarkeit jedenfalls nicht aufzulösen. Sodann ist auch der Hinweis, er sei ein "folgsames Kind" nicht geeignet, die mangelhaften und der allgemeinen Lebenserfahrung widersprechenden Angaben zur Ausreise überzeugend zu klären. Mit der Vorinstanz und entgegen der Ansicht des Beschwerdeführers ist sodann festzustellen, dass die Aussagen des Beschwerdeführers insgesamt vage, detailarm und unsubstantiiert ausgefallen sind. Insoweit vermag der Beschwerdeführer auch mit dem Wiederholen der aktenkundigen Aussagen und dem Festhalten an der Glaubhaftigkeit seiner Angaben nicht dazutun, inwiefern die Vorinstanz zu Unrecht auf Unglaubhaftigkeit der Vorbringen geschlossen hat. Um Wiederholungen zu vermeiden, kann vollumfänglich auf die Erwägungen in der angefochtenen Verfügung verwiesen werden. Damit erweist sich die Rüge, die Vorinstanz habe den Massstab des Glaubhaftmachens verletzt, als unbegründet. Die Vorinstanz hat auch ihren Entscheidungsspielraum bei der Beweiswürdigung ("Ermessen") sachgerecht ausgeübt.</w:t>
      </w:r>
    </w:p>
    <w:p>
      <w:r>
        <w:rPr>
          <w:b/>
        </w:rPr>
        <w:t>E. 5.3</w:t>
      </w:r>
    </w:p>
    <w:p>
      <w:r>
        <w:t>Schliesslich macht der Beschwerdeführer geltend, die Vorinstanz habe den Flüchtlingsbegriff nicht richtig ausgelegt. Als Angehöriger der Glaubensgemeinschaft der Ahmadi erfülle er die Flüchtlingseigenschaft. Dem Beschwerdeführer ist es jedoch nicht gelungen, seine Zugehörigkeit zur Religionsgemeinschaft der Ahmadi sowie daraus resultierende Benachteiligungen glaubhaft zu machen. Es besteht somit keine Veranlassung, seine Vorbringen unter dem Aspekt von Art. 3 AsylG zu prüfen.</w:t>
      </w:r>
    </w:p>
    <w:p>
      <w:r>
        <w:rPr>
          <w:b/>
        </w:rPr>
        <w:t>E. 5.4</w:t>
      </w:r>
    </w:p>
    <w:p>
      <w:r>
        <w:t>Der Beschwerdeführer hat somit nichts vorgebracht, das geeignet wäre, die Flüchtlingseigenschaft nachzuweisen oder glaubhaft zu machen Die Vorinstanz hat das Asylgesuch demnach zu Recht abgelehnt.</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Anhaltspunkte dafür, dass er für den Fall einer Ausschaffung nach Pakistan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8.2</w:t>
      </w:r>
    </w:p>
    <w:p>
      <w:r>
        <w:t>Nach Art. 83 Abs. 4 AuG kann der Vollzug für Ausländerinnen und Ausländer unzumutbar sein, wenn sie im Heimat- oder Herkunftsstaat auf Grund von Situationen wie Krieg, Bürgerkrieg, allgemeiner Gewalt und medizinischer Notlage konkret gefährdet sind. Wie vorstehend dargelegt, vermochte der Beschwerdeführer seine Zugehörigkeit zur Glaubensgemeinschaft der Ahmadi nicht glaubhaft zu machen. Insoweit besteht keine Veranlassung im Rahmen der Prüfung der Zumutbarkeit auf die Zugehörigkeit des Beschwerdeführers zur Glaubensgemeinschaft der Ahmadi einzugehen. Weitergehend bringt der Beschwerdeführer nichts vor, was den Vollzug der Wegweisung aus einem in seiner Person liegenden Grund als unzumutbar erscheinen liesse. Der Vollzug der Wegweisung ist zumutbar.</w:t>
      </w:r>
    </w:p>
    <w:p>
      <w:r>
        <w:rPr>
          <w:b/>
        </w:rPr>
        <w:t>E. 8.3</w:t>
      </w:r>
    </w:p>
    <w:p>
      <w:r>
        <w:t>Der Beschwerdeführer verfügt über eine pakistanische Identitätskarte, weshalb der Vollzug der Wegweisung im Sinne von Art. 83 Abs. 2 AuG möglich ist.</w:t>
      </w:r>
    </w:p>
    <w:p>
      <w:r>
        <w:rPr>
          <w:b/>
        </w:rPr>
        <w:t>E. 8.4</w:t>
      </w:r>
    </w:p>
    <w:p>
      <w:r>
        <w:t>Zusammenfassend hat die Vorinstanz den Vollzug der Wegweisung zutreffend als zulässig, zumutbar und möglich bezeichnet, weshalb eine vorläufige Aufnahme des Beschwerdeführers ausser Betracht fällt.</w:t>
      </w:r>
    </w:p>
    <w:p>
      <w:r>
        <w:rPr>
          <w:b/>
        </w:rPr>
        <w:t>E. 9</w:t>
      </w:r>
    </w:p>
    <w:p>
      <w:r>
        <w:t>Nach dem Gesagten ergibt sich, dass die angefochtene Verfügung Bundesrecht nicht verletzt und auch sonst nicht zu beanstanden ist (Art. 106 Abs. 1 AsylG). Die Beschwerde ist abzuweisen. Der Antrag, eine Frist zur Beibringung von Beweismitteln anzusetzen, den der Beschwerdeführer nicht ansatzweise näher begründet, ist mit dem vorliegenden Urteil gegenstandslos geworden.</w:t>
      </w:r>
    </w:p>
    <w:p>
      <w:r>
        <w:rPr>
          <w:b/>
        </w:rPr>
        <w:t>E. 10</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