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E-291/2023 vom 19. Januar 2023</w:t>
      </w:r>
    </w:p>
    <w:p>
      <w:r>
        <w:t>Bundesverwaltungsgericht, 2023-01-19, DE</w:t>
      </w:r>
    </w:p>
    <w:p>
      <w:r>
        <w:rPr>
          <w:b/>
        </w:rPr>
        <w:t xml:space="preserve">Quelle: </w:t>
      </w:r>
      <w:r>
        <w:t>https://mcp.opencaselaw.ch/entscheid/bvger_E-291_2023</w:t>
      </w:r>
    </w:p>
    <w:p>
      <w:r>
        <w:t>FR: TAF E-291/2023 du 19 janvier 2023</w:t>
      </w:r>
    </w:p>
    <w:p>
      <w:r>
        <w:t>IT: TAF E-291/2023 del 19 gennaio 2023</w:t>
      </w:r>
    </w:p>
    <w:p>
      <w:pPr>
        <w:pStyle w:val="Heading2"/>
      </w:pPr>
      <w:r>
        <w:t>Regeste</w:t>
      </w:r>
    </w:p>
    <w:p>
      <w:r>
        <w:t>Fristwiederherstellungsgesuch nach Nichteintretensentscheid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Fristwiederherstellungsgesuch wird abgewiesen.</w:t>
      </w:r>
    </w:p>
    <w:p>
      <w:r>
        <w:rPr>
          <w:b/>
        </w:rPr>
        <w:t>E. 2</w:t>
      </w:r>
    </w:p>
    <w:p>
      <w:r>
        <w:t>Das Urteil E-5837/2022 vom 21. Dezember 2022 bleibt in Rechtskraft.</w:t>
      </w:r>
    </w:p>
    <w:p>
      <w:r>
        <w:rPr>
          <w:b/>
        </w:rPr>
        <w:t>E. 3</w:t>
      </w:r>
    </w:p>
    <w:p>
      <w:r>
        <w:t>Die Verfahrenskosten von Fr. 750.- werden dem Gesuchsteller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Gesuchsteller, das SEM und die zuständige kantonale Behörde. Die vorsitzende Richterin: Die Gerichtsschreiberin: Constance Leisinger Claudia Jorns Morgenegg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