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E-291/2015 vom 3. März 2015</w:t>
      </w:r>
    </w:p>
    <w:p>
      <w:r>
        <w:t>Bundesverwaltungsgericht, 2015-03-03, DE</w:t>
      </w:r>
    </w:p>
    <w:p>
      <w:r>
        <w:rPr>
          <w:b/>
        </w:rPr>
        <w:t xml:space="preserve">Quelle: </w:t>
      </w:r>
      <w:r>
        <w:t>https://mcp.opencaselaw.ch/entscheid/bvger_E-291_2015</w:t>
      </w:r>
    </w:p>
    <w:p>
      <w:r>
        <w:t>FR: TAF E-291/2015 du 3 mars 2015</w:t>
      </w:r>
    </w:p>
    <w:p>
      <w:r>
        <w:t>IT: TAF E-291/2015 del 3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4.4</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4.5</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Besitzt gemäss Art. 12 Abs. 2 Dublin-III-VO die antragsstellende Person ein gültiges Visum - oder ein solches, das seit weniger als sechs Monaten abgelaufen ist und mit welchem die Person in das Hoheitsgebiet eines Mitgliedstaates einreisen konnte (Art. 12 Abs. 4 Dublin-III-VO) -,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erteilt wurde.</w:t>
      </w:r>
    </w:p>
    <w:p>
      <w:r>
        <w:rPr>
          <w:b/>
        </w:rPr>
        <w:t>E. 5.2</w:t>
      </w:r>
    </w:p>
    <w:p>
      <w:r>
        <w:t>Die Beschwerdeführenden haben weder im Rahmen des vorinstanzlichen Verfahrens noch in ihrer Beschwerdeschrift bestritten, dass die französischen Behörden ihnen ein Visum ausgestellt haben. Damit verfügten sie im massgelblichen Zeitpunkt der Asylgesuchseinreichung im Hoheitsgebiet der Dublin-Mitgliedstaaten, nämlich am 12. September 2014, über ein von Frankreich ausgestelltes Visum, welches seit weniger als sechs Monaten abgelaufen ist (gemäss eigenen Angaben gültig vom (...) 2014 bis (...) September 2014). Im Übrigen stimmten die französischen Behörden am 29. Dezember 2014 der Übernahme der Beschwerdeführenden gestützt auf Art. 12 Abs. 4 Dublin-III-VO zu. Weder die Ausführungen in der jeweiligen Befragung noch die Argumente auf Beschwerdeebene vermögen gemäss den anzuwendenden Bestimmungen der Dublin-III-VO die vorinstanzlichen Schlussfolgerungen offensichtlich umzustossen. Demnach ist Frankreich als für die Durchführung des vorliegenden Asyl- und Wegweisungsverfahren zuständiger Staat zu betrachten.</w:t>
      </w:r>
    </w:p>
    <w:p>
      <w:r>
        <w:rPr>
          <w:b/>
        </w:rPr>
        <w:t>E. 6.1</w:t>
      </w:r>
    </w:p>
    <w:p>
      <w:r>
        <w:t>Weiter bestehen keine wesentlichen Gründe für die Annahme, dass das Asylverfahren und die Aufnahmebedingungen für Antragsteller in Frankreich systemische Schwachstellen aufweisen würden, die eine Gefahr einer unmenschlichen oder entwürdigenden Behandlung im Sinne des Art. 4 der EU-Grundrechtecharta mit sich bringen.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Auch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besteht auch kein Grund zur Annahme, die französischen Behörden würden den Beschwerdeführenden bei einer Rückkehr die Aufnahme verweigern oder den Zugang zum Asylverfahren versperren, respektive in ihrem Fall den Grundsatz des Non-Refoulement missachten und sie zur Ausreise in ein Land zwingen, in dem Leib, Leben oder Freiheit aus einem Grund nach Art. 3 Abs. 1 AsylG gefährdet wären oder in dem sie Gefahr laufen würde, zur Ausreise in ein solches Land gezwungen zu werden. Im Übrigen haben sich die Beschwerdeführenden bis anhin gar nie um eine Aufnahme in das französische Asylsystem bemüht. Die Anwendung von Art. 3 Abs. 2 Dublin-III-VO ist mithin nicht gerechtfertigt.</w:t>
      </w:r>
    </w:p>
    <w:p>
      <w:r>
        <w:rPr>
          <w:b/>
        </w:rPr>
        <w:t>E. 6.2</w:t>
      </w:r>
    </w:p>
    <w:p>
      <w:r>
        <w:t>Vorliegend ist sodann auch kein Grund für einen Selbsteintritt gemäss Art. 17 Abs. 1 Dublin-III-VO ersichtlich, zumal auf Beschwerdestufe nichts vorgebracht wird, was im Rahmen dieser Ermessensklausel Berücksichtigung finden könnte. An dieser Stelle bleibt festzuhalten, dass das Dublin-System den Schutzsuchenden kein Recht einräumt, den ihren Antrag prüfenden Staat selber auszuwählen (vgl. BVGE 2010/45 E.8.3, der auch unter der Dublin-III-VO Geltung bewahrt). Auch der Umstand, dass sie keine anderen Ausreisemöglichkeiten gehabt hätten und ihnen die Auswirkungen der Dublin-III-VO nicht bewusst gewesen seien, entfaltet vorliegend keine Relevanz. Zudem kann eine zwangsweise Rückweisung von Personen mit gesundheitlichen Problemen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Dies trifft im vorliegenden Fall für die Situation der Beschwerdeführerin, welche gemäss eigenen Angaben Probleme mit (...) habe und Medikamente einnehme (vgl. C7/12 S. 11), offensichtlich nicht zu.</w:t>
      </w:r>
    </w:p>
    <w:p>
      <w:r>
        <w:rPr>
          <w:b/>
        </w:rPr>
        <w:t>E. 6.3</w:t>
      </w:r>
    </w:p>
    <w:p>
      <w:r>
        <w:t>In der angefochtenen Verfügung ist das SEM auf die individuellen Vorbringen der Beschwerdeführenden (insbesondere den früheren langjährigen Aufenthalt in der Schweiz) nicht eingegangen. Im Rahmen seiner Vernehmlassung hat es nunmehr den humanitären Gründen gemäss Art. 17 Abs. 1 Dublin-III-VO i.V.m. Art. 29a Abs. 3 AsylV 1 Rechnung getragen.</w:t>
      </w:r>
    </w:p>
    <w:p>
      <w:r>
        <w:rPr>
          <w:b/>
        </w:rPr>
        <w:t>E. 7</w:t>
      </w:r>
    </w:p>
    <w:p>
      <w:r>
        <w:t>Nach dem Gesagten wäre die Vorinstanz in Anwendung von Art. 31a Abs. 1 Bst. b AsylG zu Recht auf das Asylgesuch der Beschwerdeführenden nicht eingetreten und hätte - weil sie nicht im Besitz einer gültigen Aufenthalts- oder Niederlassungsbewilligung sind - gestützt auf Art. 44 AsylG richtigerweise die Überstellung nach Frankreich angeordnet (Art. 32 Bst. a AsylV 1 der Asylverordnung 1 vom 11. August 1999 [AsylV 1, SR 142.311]). Vorliegend wurden die Kinder der Beschwerdeführenden jedoch nicht als Verfügungsadressaten in der angefochtenen Verfügung aufgenommen. Zudem wurden sie weder im Sachverhalt noch in den Erwägungen der angefochtenen Verfügung erwähnt, weshalb auch kein Sachzusammenhang hergestellt werden kann; die Verfügung bezieht sich vielmehr explizit (Anmerkung des Gerichts: lediglich) auf den Beschwerdeführer 1 und die Beschwerdeführerin 2 (vgl. Verfügung S. 8). Diesem formellen Mangel kann nur durch eine Kassation der vorinstanzlichen Verfügung Rechnung getragen werden, zumal sich die Frage einer Heilung des Verfahrensmangels vorliegend nicht stellt.</w:t>
      </w:r>
    </w:p>
    <w:p>
      <w:r>
        <w:rPr>
          <w:b/>
        </w:rPr>
        <w:t>E. 8</w:t>
      </w:r>
    </w:p>
    <w:p>
      <w:r>
        <w:t>Die Beschwerde ist demnach (einzig aufgrund des formellen Mangels) gutzuheissen und die Sache an das SEM zum Erlass einer neuen Verfügung zurückzuweisen.</w:t>
      </w:r>
    </w:p>
    <w:p>
      <w:r>
        <w:rPr>
          <w:b/>
        </w:rPr>
        <w:t>E. 9.1</w:t>
      </w:r>
    </w:p>
    <w:p>
      <w:r>
        <w:t>Bei diesem Ausgang des Verfahrens sind gemäss Art. 63 Abs. 1 und 2 VwVG keine Kosten aufzuerlegen. Das Gesuch um unentgeltliche Prozessführung wird obsolet.</w:t>
      </w:r>
    </w:p>
    <w:p>
      <w:r>
        <w:rPr>
          <w:b/>
        </w:rPr>
        <w:t>E. 9.2</w:t>
      </w:r>
    </w:p>
    <w:p>
      <w:r>
        <w:t>Es ist nicht davon auszugehen, dass den nicht vertretenen Beschwerdeführenden verhältnismässig hohe Parteikosten im Sinn von Art. 64 Abs. 1 VwVG erwachsen sind,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