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E-2915/2010 vom 31. Mai 2011</w:t>
      </w:r>
    </w:p>
    <w:p>
      <w:r>
        <w:t>Bundesverwaltungsgericht, 2011-05-31, FR</w:t>
      </w:r>
    </w:p>
    <w:p>
      <w:r>
        <w:rPr>
          <w:b/>
        </w:rPr>
        <w:t xml:space="preserve">Quelle: </w:t>
      </w:r>
      <w:r>
        <w:t>https://mcp.opencaselaw.ch/entscheid/bvger_E-2915_2010</w:t>
      </w:r>
    </w:p>
    <w:p>
      <w:r>
        <w:t>FR: TAF E-2915/2010 du 31 mai 2011</w:t>
      </w:r>
    </w:p>
    <w:p>
      <w:r>
        <w:t>IT: TAF E-2915/2010 del 31 maggio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Il statue en particulier définitivement sur les recours formés contre les décisions rendues par l'ODM en matière d'asile et de renvoi, sauf demande d'extradition déposée par l'Etat dont le requérant cherche à se protéger (art. 105 LAsi, en relation avec les art. 6a al. 1 LAsi, art. 33 let. d LTAF et art. 83 let. d ch. 1 de la loi sur le Tribunal fédéral du 17 juin 2005 [LTF, RS 173.110]).</w:t>
      </w:r>
    </w:p>
    <w:p>
      <w:r>
        <w:rPr>
          <w:b/>
        </w:rPr>
        <w:t>E. 1.3</w:t>
      </w:r>
    </w:p>
    <w:p>
      <w:r>
        <w:t>La procédure est régie par la PA, pour autant que la LTAF et la LAsi n'en disposent pas autrement (art. 6 LAsi et 37 LTAF).</w:t>
      </w:r>
    </w:p>
    <w:p>
      <w:r>
        <w:rPr>
          <w:b/>
        </w:rPr>
        <w:t>E. 1.4</w:t>
      </w:r>
    </w:p>
    <w:p>
      <w:r>
        <w:t>A._______ a qualité pour recourir (art. 48 al. 1 PA). Interjeté dans la forme (art. 52 PA) et le délai prescrits par la loi (art. 108 al. 1 LAsi), le recours est recevable.</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En l'occurrence, A._______ a indiqué avoir quitté son pays uniquement pour des motifs économiques (cf. mémoire de recours, p. 2 et pv d'audition du 19 juin 2009, p. 8, rép. à la quest. no 81). C'est donc à juste titre que l'ODM lui a dénié la qualité de réfugié et lui a refusé l'asile. Le recours doit par conséquent être rejeté et la décision querellée confirmée sur ces deux points. Aussi, convient-il désormais de vérifier si le renvoi de l'intéressé et l'exécution de cette mesure sont conformes à la loi.</w:t>
      </w:r>
    </w:p>
    <w:p>
      <w:r>
        <w:rPr>
          <w:b/>
        </w:rPr>
        <w:t>E. 3</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réalisée en l'espèce, le Tribunal est tenu, de par la loi, de confirmer cette mesure.</w:t>
      </w:r>
    </w:p>
    <w:p>
      <w:r>
        <w:rPr>
          <w:b/>
        </w:rPr>
        <w:t>E. 4</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w:t>
      </w:r>
    </w:p>
    <w:p>
      <w:r>
        <w:rPr>
          <w:b/>
        </w:rPr>
        <w:t>E. 5</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Comme cela a déjà été souligné plus haut (cf. consid. 2 supra), le recourant a indiqué avoir quitté son pays uniquement pour des motifs économiques. Rien ne permet dès lors de penser que son retour vers l'une ou l'autre des trois provinces autonomes kurdes du nord de l'Irak l'exposerait à un risque de persécutions ou d'autres traitements contraires aux engagements internationaux contractés par la Suisse. Aussi, l'exécution du renvoi de A._______ s'avère-t-elle licite. 6.1.1. Aux termes de l'art. 83 al. 4 de la loi fédérale sur les étrangers du 16 décembre 2005 (LEtr, RS 142.20),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Il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 Beat Rudin/ Thomas Hugi Yar/ Thomas Geiser [éd.], Ausländerrecht, Handbücher für die Anwaltspraxis, vol. VIII, 2ème éd., Bâle 2009, n° 11.68s.). 6.1.2. Selon la jurisprudence,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trouvant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Le requérant d'asile invoquant des obstacles à l'exécution du renvoi doit donc les établir ou, à tout le moins, les rendre hautement probables lorsque la preuve au sens strict n'est pas raisonnablement exigible au vu de l'ensemble des circonstances du cas d'espèce (voir à ce propos Walter Stöckli, op. cit., n° 11.148). 6.1.3. Il y a donc lieu d'examiner, à la lumière des critères exposés plus haut (cf. considérant 6.1.1 supra), si l'exécution du renvoi de l'intéressé en Irak est ou non raisonnablement exigible, au regard de la situation générale prévalant actuellement dans ce pays, d'une part, et de sa situation personnelle, d'autre part. 6.1.4. Dans sa jurisprudence (ATAF 2008/5 consid. 7.5 p. 75 ss), le Tribunal a rappelé que l'Irak n'était plus en proie à une situation de guerre, de guerre civile, ou de violence généralisée et a considéré que l'exécution du renvoi d'un ressortissant irakien dans les trois provinces kurdes du nord de l'Irak (Dohouk, Erbil et Suleymaniya) était raisonnablement exigible, à condition que l'intéressé soit originaire de l'une de ces provinces ou qu'il y ait vécu pendant une longue période, et qu'il y dispose d'un réseau social (famille, parenté ou amis) ou de liens avec les partis dominants. En l'occurrence, A._______, censé être né et avoir vécu la plus grande partie de sa vie à C._______ (dans la province de Mossoul), n'a pas expliqué de manière convaincante pourquoi il avait employé la variante dialectale usitée dans le nord de l'Irak (où il n'aurait séjourné que peu de temps) lors de l'audition menée par l'analyste Lingua, en date du 2 décembre 2008. Le contenu du rapport d'analyse Lingua du 26 janvier 2009 laisse en outre apparaître que, durant cette même audition, le recourant n'a pas été en mesure de parler l'arabe et a reconnu ignorer cette langue pourtant utilisée dans le système scolaire de sa région d'origine alléguée qu'il a dit avoir fréquenté durant sept ans (cf. let. A supra). Les constatations de l'analyste Lingua mettant en évidence les maigres connaissances de l'arabe du recourant sont du reste corroborées par ses propres indications initiales données à ce sujet en audition sommaire (cf. pv du 6 novembre 2008, p. 3, ch. 9 sous la rubrique "Übrige Sprachkenntnisse" : Arabisch ? Ich verstehe ganz wenig, aber reden kann ich nicht. In unserem Dorf leben nur Kurden."). Dès lors, les déclarations faites par l'intéressé en audition sur les motifs d'asile, selon lesquelles il lirait et écrirait correctement l'arabe (cf. pv du 19 juin 2009, p. 5, rép. à la quest. no 32), ne peuvent correspondre à la réalité. Vu ce qui précède, le Tribunal en conclut que le recourant n'a pas été socialisé à C._______ mais dans l'une des trois provinces autonomes kurdes du nord de l'Irak. Pour le reste, il convient de rappeler que A._______ est jeune, en bonne santé, apte au travail, et qu'il dispose d'un réseau familial, mais aussi social dans son pays d'origine. A défaut d'éléments prépondérants plaidant contre le caractère raisonnablement exigible de l'exécution du renvoi de l'intéressé vers l'une des trois provinces susmentionnées et plus particulièrement celle de Dohuk où il a très vraisemblablement vécu jusqu'à son départ (cf. let. B supra), pareille mesure s'avère conforme à l'art. 83 al. 4 LEtr (cf. consid. 6.1.1 supra). La carte d'identité produite ne saurait à cet égard modifier l'appréciation du Tribunal, compte tenu des falsifications relevées sur ce document, (cf. let. E supra), au sujet desquelles le recourant n'a, là non plus, livré aucune explication convaincante.</w:t>
      </w:r>
    </w:p>
    <w:p>
      <w:r>
        <w:rPr>
          <w:b/>
        </w:rPr>
        <w:t>E. 7</w:t>
      </w:r>
    </w:p>
    <w:p>
      <w:r>
        <w:t>Enfin, l'exécution du envoi est possible (art. 83 al. 2 LEtr ; cf. également ATAF 2008/34 consid. 12 p. 513-515 et jurisp. cit.), A._______ étant en effet tenu de collaborer à l'obtention de documents de voyage lui permettant de retourner en Irak.</w:t>
      </w:r>
    </w:p>
    <w:p>
      <w:r>
        <w:rPr>
          <w:b/>
        </w:rPr>
        <w:t>E. 8</w:t>
      </w:r>
    </w:p>
    <w:p>
      <w:r>
        <w:t>Dans ces conditions, le recours doit aussi être rejeté en matière de renvoi et d'exécution du renvoi et la décision querellée confirmée sur ces deux points également.</w:t>
      </w:r>
    </w:p>
    <w:p>
      <w:r>
        <w:rPr>
          <w:b/>
        </w:rPr>
        <w:t>E. 9</w:t>
      </w:r>
    </w:p>
    <w:p>
      <w:r>
        <w:t>Vu le caractère manifestement infondé dudit recours, le présent arrêt, sommairement motivé (art. 111a al. 2 LAsi), est rendu par l'office du juge unique, avec l'approbation d'un second juge (art. 111 let. e LAsi). 10.1. La demande d'assistance judiciaire partielle du 26 avril 2010 est elle aussi rejetée, les conclusions du recours étant d'emblée vouées à l'échec pour les raisons déjà explicitées plus en détail ci-dessus (cf. art. 65 al. 1 PA et consid. 2 à 7 supra). 10.2. A._______, ayant succombé, doit prendre les frais judiciaires à sa charge, conformément aux art. 63 al. 1 PA et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