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E-2911/2013 vom 5. Februar 2014</w:t>
      </w:r>
    </w:p>
    <w:p>
      <w:r>
        <w:t>Bundesverwaltungsgericht, 2014-02-05, DE</w:t>
      </w:r>
    </w:p>
    <w:p>
      <w:r>
        <w:rPr>
          <w:b/>
        </w:rPr>
        <w:t xml:space="preserve">Quelle: </w:t>
      </w:r>
      <w:r>
        <w:t>https://mcp.opencaselaw.ch/entscheid/bvger_E-2911_2013</w:t>
      </w:r>
    </w:p>
    <w:p>
      <w:r>
        <w:t>FR: TAF E-2911/2013 du 5 février 2014</w:t>
      </w:r>
    </w:p>
    <w:p>
      <w:r>
        <w:t>IT: TAF E-2911/2013 del 5 febbraio 2014</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 Auf die Beschwerde ist einzutreten.</w:t>
      </w:r>
    </w:p>
    <w:p>
      <w:r>
        <w:rPr>
          <w:b/>
        </w:rPr>
        <w:t>E. 2</w:t>
      </w:r>
    </w:p>
    <w:p>
      <w:r>
        <w:t>Mit Beschwerde können die Verletzung von Bundesrecht (einschliesslich Missbrauch und Überschreiten des Ermessens) sowie die unrichtige und unvollständige Feststellung des rechtserheblichen Sachverhalts gerügt werden (Art. 106 Abs. 1 AsylG).</w:t>
      </w:r>
    </w:p>
    <w:p>
      <w:r>
        <w:rPr>
          <w:b/>
        </w:rPr>
        <w:t>E. 3</w:t>
      </w:r>
    </w:p>
    <w:p>
      <w:r>
        <w:t>Die Beschwerde ist im Verfahren einzelrichterlicher Zuständigkeit mit Zustimmung eines zweiten Richters bzw. einer zweiten Richterin zu behandeln, weil sie sich im Ergebnis als offensichtlich begründet erweist (Art. 111 Bst. e AsylG). Gestützt auf Art. 111a Abs. 1 AsylG wurde vorliegend auf einen Schriftenwechsel verzichtet.</w:t>
      </w:r>
    </w:p>
    <w:p>
      <w:r>
        <w:rPr>
          <w:b/>
        </w:rPr>
        <w:t>E. 4.1</w:t>
      </w:r>
    </w:p>
    <w:p>
      <w:r>
        <w:t>Die Vorinstanz ist in Verfahren, die Staatsangehörige Sri Lankas tamilischer Ethnie betreffen, systematisch dazu übergegangen, keine Ausreisefristen mehr zu verhängen und bereits angeordnete Ausreisefristen aufzuheben. Faktisch zieht sie damit sämtliche Verfahren (auch solche im Vollzugsstadium) in Wiedererwägung, und zwar unbesehen der konkreten Umstände im Einzelfall. Das vorinstanzliche Vorgehen geht auf zwei bekannt gewordene Vorfälle zurück. Die sri-lankischen Behörden hatten tamilische Rückkehrer bei der Wiedereinreise in Haft genommen. Daraufhin hat die Vorinstanz in Aussicht gestellt, nicht nur die beiden Vorfälle, sondern auch eine allfällige Veränderung der allgemeinen Situation in Sri Lanka vertieft abzuklären. Die Vorinstanz geht damit offenbar selber davon aus, dass der Sachverhalt, wie er der Verfügung vom 16. April 2013 zugrunde liegt, nicht vollständig festgestellt ist. Es besteht kein Zweifel, dass sich eine neue Lagebeurteilung vor Ort auf die konkrete Feststellung des rechtserheblichen Sachverhalts auswirken kann, sei es im Wegweisungsvollzugspunkt, sei es allenfalls im Flüchtlings- und Asylpunkt (vgl. zu den Risikogruppen BVGE 2011/24 E. 8).</w:t>
      </w:r>
    </w:p>
    <w:p>
      <w:r>
        <w:rPr>
          <w:b/>
        </w:rPr>
        <w:t>E. 4.2</w:t>
      </w:r>
    </w:p>
    <w:p>
      <w:r>
        <w:t>Das Bundesverwaltungsgericht hat zwar die Kompetenz, den festgestellten Sachverhalt mit voller Kognition zu überprüfen (Art. 106 Abs. 1 Bst. b AsylG), und es stellt grundsätzlich auf den Sachverhalt ab, wie er sich im Zeitpunkt des Urteils verwirklicht hat (vgl. BVGE 2012/21 E. 5). Es kann indessen nicht die Aufgabe der Beschwerdeinstanz sein, grundlegende Fragen zum Sachverhalt als erste Instanz zu klären. Das ergibt sich aus der gesetzlichen Zuständigkeitsordnung. Das Gericht beurteilt Beschwerden gegen Verwaltungsverfügungen im Sinne von Art. 5 VwVG, ist mithin zur Überprüfung von Verfügungen zuständig (Art. 31 VGG). Die Bestimmung zur Sachverhaltsfeststellung in Art. 32 VwVG ist denn auch primär auf das Verwaltungsverfahren vor den erstinstanzlichen Bundesbehörden und nicht auf das Beschwerdeverfahren zugeschnitten, was die gesetzliche Systematik bestätigt. Schliesslich fällt ins Gewicht, dass die Partei eine Instanz verlöre, wenn das Gericht die Grundlagen des rechtserheblichen Sachverhalts nicht nur ergänzen, sondern gleichsam wie eine erste Instanz erheben würde. Aus diesen Gründen hat das Bundesverwaltungsgericht von eigenen Sachverhaltsfeststellungen, die über eine blosse Ergänzung und Erwahrung des rechtserheblichen Sachverhalts hinausreichen, abzusehen (vgl. BVGE 2012/21 E. 5).</w:t>
      </w:r>
    </w:p>
    <w:p>
      <w:r>
        <w:rPr>
          <w:b/>
        </w:rPr>
        <w:t>E. 4.3</w:t>
      </w:r>
    </w:p>
    <w:p>
      <w:r>
        <w:t>Demnach ist die angefochtene Verfügung aufzuheben und die Sache zur vollständigen Sachverhaltsfeststellung und zu neuer Entscheidung an die Vorinstanz zurückzuweisen. Allein die Tatsache, dass die Ergebnisse der vorinstanzlichen Abklärungen abzuwarten sind, rechtfertigt die Aufhebung der angefochtenen Verfügung. Die Beschwerde ist somit - ungeachtet der Parteivorbringen - gutzuheissen. 5.Bei diesem Ausgang des Verfahrens sind keine Kosten zu erheben (Art. 63 Abs. 1 und 2 VwVG). Der geleistete Kostenvorschuss ist zurückzuerstatten. 6.Dem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Es wurde keine Kostennote eingereicht, weshalb die notwendigen Parteikosten aufgrund der Akten zu bestimmen sind (Art. 14 Abs. 2 in fine VGKE). Gestützt auf die in Betracht zu ziehenden Bemessungsfaktoren (Art. 9-13 VGKE) ist dem Beschwerdeführer zulasten der Vorinstanz eine Parteientschädigung von insgesamt Fr. 2000.- (inkl. Auslagen und Mehrwertsteuer)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