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E-2910/2007 vom 22. Juli 2009</w:t>
      </w:r>
    </w:p>
    <w:p>
      <w:r>
        <w:t>Bundesverwaltungsgericht, 2009-07-22, FR</w:t>
      </w:r>
    </w:p>
    <w:p>
      <w:r>
        <w:rPr>
          <w:b/>
        </w:rPr>
        <w:t xml:space="preserve">Quelle: </w:t>
      </w:r>
      <w:r>
        <w:t>https://mcp.opencaselaw.ch/entscheid/bvger_E-2910_2007</w:t>
      </w:r>
    </w:p>
    <w:p>
      <w:r>
        <w:t>FR: TAF E-2910/2007 du 22 juillet 2009</w:t>
      </w:r>
    </w:p>
    <w:p>
      <w:r>
        <w:t>IT: TAF E-2910/2007 del 22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l'admission provisoire peuvent être contestées devant le Tribunal administratif fédéral conformément à l'art. 112 de la loi fédérale du 16 décembre 2005 sur les étrangers (LEtr, RS 142.20).</w:t>
      </w:r>
    </w:p>
    <w:p>
      <w:r>
        <w:rPr>
          <w:b/>
        </w:rPr>
        <w:t>E. 1.2</w:t>
      </w:r>
    </w:p>
    <w:p>
      <w:r>
        <w:t>Le recourant a qualité pour recourir. Présenté dans la forme et les délais prescrits par la loi, le recours est recevable (48, 50 et 52 PA).</w:t>
      </w:r>
    </w:p>
    <w:p>
      <w:r>
        <w:rPr>
          <w:b/>
        </w:rPr>
        <w:t>E. 2.1</w:t>
      </w:r>
    </w:p>
    <w:p>
      <w:r>
        <w:t>En l'espèce, tant le rejet de la demande d'asile déposée par l'intéressé que le prononcé de son renvoi sont entrés en force ; seule reste donc litigieuse la question de savoir si ce renvoi est exécutable, ce qui permettrait la levée de l'admission provisoire.</w:t>
      </w:r>
    </w:p>
    <w:p>
      <w:r>
        <w:rPr>
          <w:b/>
        </w:rPr>
        <w:t>E. 2.2</w:t>
      </w:r>
    </w:p>
    <w:p>
      <w:r>
        <w:t>Les personnes admises à titre provisoire avant l'entrée en vigueur de la LEtr (fixée au 1er janvier 2008) sont soumises au nouveau droit (art. 126a al. 4 LEtr) ; la présente cause doit donc être tranchée en application de la LEtr.</w:t>
      </w:r>
    </w:p>
    <w:p>
      <w:r>
        <w:rPr>
          <w:b/>
        </w:rPr>
        <w:t>E. 3.1</w:t>
      </w:r>
    </w:p>
    <w:p>
      <w:r>
        <w:t>L'exécution du renvoi est ordonnée si elle est licite, raisonnablement exigible et possible, selon l'art. 83 LEtr. Cette disposition a remplacé l'art. 14a de l'ancienne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4.4</w:t>
      </w:r>
    </w:p>
    <w:p>
      <w:r>
        <w:t>En l'occurrence, le Tribunal relève qu'il n'existe aucun indice de nature à rendre hautement probable, au sens ci-dessus rappelé, une mise en danger concrète du recourant en cas de retour. En effet, il aurait été accusé de complicité avec le Conseil national pour la défense de la démocratie (CNDD), mouvement qui occupe aujourd'hui le pouvoir (v. ci-dessous), si bien que tout risque de ce chef a disparu. Il en est de même des menaces qu'auraient fait peser sur lui les Forces nationales de libération (FNL) ; en effet, comme on le verra plus bas, ce mouvement a conclu un accord de paix avec l'Etat burundais et a pratiquement cessé toute activité. On peut d'ailleurs également relever que le récit du recourant, y compris son arrestation et son évasion, a été considéré comme invraisemblable par l'ODR, et que l'intéressé n'a pas interjeté recours contre cette décision. 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S'agissant de la situation générale au Burundi, le Tribunal rappelle qu'à l'issue de la série de consultations électorales qui s'est déroulée durant l'été 2005, le parti à dominante hutu CNDD a obtenu la majorité aux élections parlementaires, et son candidat, Pierre Nkurunziza, a été élu à la présidence, le 19 août suivant. Seule la guérilla hutu des FNL a continué la lutte et a fait régner une certaine insécurité dans la province de Bujumbura-rural, avant de finalement signer un cessez-le-feu, le 7 septembre 2006. La conclusion d'un accord de paix définitif n'était cependant pas garantie, et de fait, de nouveaux affrontements sporadiques entre l'armée et les FNL ont encore eu lieu au printemps 2008 ; en même temps, la situation politique s'est tendue, des dissensions internes au CNDD ayant conduit à l'éviction de plusieurs membres du Parlement (cf. UN Human Rights Concil, Report of the independent expert on the situation of the human rights in Burundi, août 2008). Durant la seconde moitié de l'année, l'intégration dans l'appareil d'Etat des rebelles des FNL (le mouvement a signé un nouvel engagement à négocier, le 10 juin 2008) a marqué le pas, en raison des méfiances réciproques (cf. Rapport Amnesty International, 28 mai 2009). Toutefois, bien qu'une certaine agitation résiduelle subsiste, et que les opposants actifs au gouvernement CNDD courrent le risque d'être arrêtés et maltraités, on ne peut plus maintenant considérer que le Burundi soit un pays affecté par une guerre ou une violence généralisée (cf. à ce sujet JICRA 2006 n° 5 p. 49 ss ; 2005 n° 13 p. 121 cons. 7.2.).</w:t>
      </w:r>
    </w:p>
    <w:p>
      <w:r>
        <w:rPr>
          <w:b/>
        </w:rPr>
        <w:t>E. 5.3</w:t>
      </w:r>
    </w:p>
    <w:p>
      <w:r>
        <w:t>En outre, il ne ressort du dossier aucun élément dont on pourrait inférer que l'exécution du renvoi impliquerait une mise en danger concrète du recourant. A cet égard, l'autorité de céans relève qu'il est jeune, sans charge de famille et au bénéfice d'une formation universitaire. Quant à ses problèmes de santé, lui-même admet qu'ils sont pour l'essentiel réglés et qu'aucun traitement ne lui est plus nécessaire. Le recourant fait certes état d'un risque de réactivation des traumatismes subis. Toutefois, il y a lieu de rappeler, une fois encore, que son récit n'a pas été jugé crédible ; de plus, le seul épisode traumatique dont l'intéressé ait fait état, à savoir sa détention de quelques semaines en 2000-2001, remonte maintenant à plus de huit ans. En outre, il dispose d'un réseau familial et social dans son pays (un frère, une soeur et un oncle), sur lequel il pourra compter à son retour ; de plus, comme l'ODM l'a noté, une aide au retour adéquate pourra contribuer dans les premiers temps à faciliter sa réinsertion.</w:t>
      </w:r>
    </w:p>
    <w:p>
      <w:r>
        <w:rPr>
          <w:b/>
        </w:rPr>
        <w:t>E. 5.4</w:t>
      </w:r>
    </w:p>
    <w:p>
      <w:r>
        <w:t>Enfin, en dépit de la longue durée du séjour en Suisse, la levée de l'admission provisoire est proportionnée aux circonstances (cf. art. 96 LEtr). Demeure toutefois réservée l'éventuelle délivrance d'une autorisation de séjour pour cas de rigueur (art. 14 al. 2 de la loi sur l'asile du 26 juin 1998 [LAsi, RS 142.31]) ; l'examen de cette question requiert toutefois une proposition dans ce sens de l'autorité cantonale, laquelle n'a pas été déposée in casu.</w:t>
      </w:r>
    </w:p>
    <w:p>
      <w:r>
        <w:rPr>
          <w:b/>
        </w:rPr>
        <w:t>E. 5.5</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7</w:t>
      </w:r>
    </w:p>
    <w:p>
      <w:r>
        <w:t>Il s'ensuit que le recours doit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