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E-290/2015 vom 22. Januar 2015</w:t>
      </w:r>
    </w:p>
    <w:p>
      <w:r>
        <w:t>Bundesverwaltungsgericht, 2015-01-22, DE</w:t>
      </w:r>
    </w:p>
    <w:p>
      <w:r>
        <w:rPr>
          <w:b/>
        </w:rPr>
        <w:t xml:space="preserve">Quelle: </w:t>
      </w:r>
      <w:r>
        <w:t>https://mcp.opencaselaw.ch/entscheid/bvger_E-290_2015</w:t>
      </w:r>
    </w:p>
    <w:p>
      <w:r>
        <w:t>FR: TAF E-290/2015 du 22 janvier 2015</w:t>
      </w:r>
    </w:p>
    <w:p>
      <w:r>
        <w:t>IT: TAF E-290/2015 del 22 gennaio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ficht die vorinstanzliche Entscheidung lediglich im Flüchtlingspunkt an, nicht aber im Asyl- und im Wegweisungspunkt. Damit beschränkt sich der Prozessgegenstand auf die Frage, ob die Beschwerdeführerin die Flüchtlingseigenschaft erfüllt oder nicht. Die Ablehnung des Asylgesuchs ist dagegen unangefochten in Rechtskraft erwachsen und die Wegweisung als solche ist auch nicht mehr zu überprüfen.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Asylbeachtlich ist eine objektiv begründetet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hat in der angefochtenen Verfügung ausführlich und überzeugend dargetan, weshalb sie die Vorbringen betreffend Syrien für nicht glaubhaft erachte. Die Beschwerdeführerin hat sich damit auf Beschwerdeebene nicht stichhaltig auseinandergesetzt. Damit erübrigt es sich, diese Vorbringen auf ihre asylrechtliche Relevanz hin zu überprüfen.</w:t>
      </w:r>
    </w:p>
    <w:p>
      <w:r>
        <w:rPr>
          <w:b/>
        </w:rPr>
        <w:t>E. 6.2</w:t>
      </w:r>
    </w:p>
    <w:p>
      <w:r>
        <w:t>Was hingegen die Gefahr einer Reflexverfolgung in der Türkei aufgrund des politischen Engagements des Vaters in Syrien betrifft, teilt die Vorinstanz zwar die Einschätzung, dass die Beschwerdeführerin Schikanen und Behelligungen ausgesetzt sein könnte. Entgegen der Beschwerdeführerin vertritt sie aber die Auffassung, dass in der Türkei keine Sippenhaft im engeren Sinne herrsche, dass namentlich nicht damit zu rechnen sei, dass gegen sie ein Strafverfahren lediglich aufgrund der Verwandtschaft zu einem politischen Aktivisten eingeleitet würde. Der Beschwerdeführerin gelingt es auf Beschwerdeebene nicht, dieser plausiblen Lagebeurteilung substanziiert zu begegnen und insbesondere darzutun, dass sie bei einer hypothetischen Niederlassung in der Türkei mit erheblicher Wahrscheinlichkeit mit ernstlichen Nachteilen von asylbeachtlicher Intensität zu rechnen hätte. Zu berücksichtigen gilt es dabei, dass sie bislang politisch nicht in Erscheinung getreten ist und daher auch nicht davon auszugehen ist, dass die türkischen Behörden bereits auf sie aufmerksam geworden wären. Von einer ernstlichen Gefahr, die sich mit hoher Wahrscheinlichkeit in absehbarer Zukunft verwirklichen könnte, kann nach dem Gesagten keine Rede sein. Für eine auf Beschwerdeebene geltend gemachte Gefahr einer Kollektivverfolgung von aramäischen Christen in der Türkei bestehen keine Anhaltspunkte. Die Vorinstanz hat die Flüchtlingseigenschaft zu Recht verneint.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der Beschwerdeführerin aufzuerlegen (Art. 63 Abs. 1 VwVG) und auf insgesamt Fr. 600.- über die Kosten und Entschädigungen vor dem Bundesverwaltungsgericht [VGKE, SR 173.320.2]). Die Akten betreffend die Angehörigen der Beschwerdeführerin wurden antragsgemäss beigezogen.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