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E-290/2014 vom 30. Januar 2014</w:t>
      </w:r>
    </w:p>
    <w:p>
      <w:r>
        <w:t>Bundesverwaltungsgericht, 2014-01-30, DE</w:t>
      </w:r>
    </w:p>
    <w:p>
      <w:r>
        <w:rPr>
          <w:b/>
        </w:rPr>
        <w:t xml:space="preserve">Quelle: </w:t>
      </w:r>
      <w:r>
        <w:t>https://mcp.opencaselaw.ch/entscheid/bvger_E-290_2014</w:t>
      </w:r>
    </w:p>
    <w:p>
      <w:r>
        <w:t>FR: TAF E-290/2014 du 30 janvier 2014</w:t>
      </w:r>
    </w:p>
    <w:p>
      <w:r>
        <w:t>IT: TAF E-290/2014 del 30 gennaio 2014</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im Wesentlichen fest, seit der Beendigung des Krieges und der Niederlage der LTTE habe sich die allgemeine Situation wesentlich verbessert. Bei den vom Beschwerdeführer geltend gemachten Problemen mit Dritten - Mitgliedern von bewaffneten Gruppen und unbekannten Personen - handle es sich um Nachteile, die sich aus lokal oder regional beschränkten Verfolgungsmassnahmen ableiteten. Er könne sich diesen Verfolgungsmassnahmen durch einen Wegzug in einen anderen Teil seines Heimatlandes entziehen. Aus diesen Gründen sei er nicht auf den Schutz der Schweiz angewiesen. Hinzu komme, dass der Staat Sri Lanka als schutzfähig gelte und er sich an die Behörden oder private Organisationen wenden könne. Es fänden sich in seinen Schilderungen keine Hinweise darauf, dass es ihm nicht möglich wäre, bei den sri-lankischen Behörden um Schutz vor weiteren Übergriffen zu ersuchen. Es treffe in seinem Fall nicht zu, dass mit überwiegender Wahrscheinlichkeit von einer akuten Gefährdung bei einem Verbleib in Sri Lanka ausgegangen werden müsse. Die geltend gemachten Vorbringen seien nicht einreiserelevant.</w:t>
      </w:r>
    </w:p>
    <w:p>
      <w:r>
        <w:rPr>
          <w:b/>
        </w:rPr>
        <w:t>E. 5.2</w:t>
      </w:r>
    </w:p>
    <w:p>
      <w:r>
        <w:t>Der Beschwerdeführer bringt dagegen im Wesentlichen vor, er könne nicht mehr an einem Ort verweilen, da er ständig von Unbekannten gesucht werde, welche ihn töten wollten. Er habe keine Familie und keine Verwandten um sich. Meistens fühle er sich sehr einsam und frage sich, ob er sich das Leben nehmen solle. Er habe sich an die Behörden gewandt, doch diese seien korrupt und hätten ihm nicht helfen können. Auch habe er in anderen Teilen des Landes gelebt. Zuerst bei Verwandten in Colombo, doch sei dort eingebrochen worden und er habe zum Glück fliehen können. In Jaffna sei es schliesslich noch gefährlicher zum Wohnen gewesen. Dort, wo Singhalesisch gesprochen werde, könne er sich mangels Sprachkenntnisse nicht niederlassen, da ihn ansonsten alle für einen Terroristen halten und zur Polizei bringen würden. Er könne so nicht mehr weiterleben und möchte ein friedliches Leben ermöglicht bekommen.</w:t>
      </w:r>
    </w:p>
    <w:p>
      <w:r>
        <w:rPr>
          <w:b/>
        </w:rPr>
        <w:t>E. 6.1</w:t>
      </w:r>
    </w:p>
    <w:p>
      <w:r>
        <w:t>Mit der Vorinstanz ist festzuhalten, dass die geltend gemachten Benachteiligungen in Zusammenhang mit der damaligen Bürgerkriegssituation zu sehen sind. Seither hat sich die allgemeine Lage in Sri Lanka entgegen der Ansicht des Beschwerdeführers wesentlich verändert. Einer erhöhten Verfolgungsgefahr sehen sich heute Personen ausgesetzt, die einer bestimmten Risikogruppe angehören. (vgl. dazu im Einzelnen BVGE 2011/24). Der Beschwerdeführer gehört keiner dieser Gruppen an. Überdies weiss er gar nicht, von welchen Personen er eigentlich genau bedroht wird (BMF-Akten A9/16 Ziff. 9.2 und 11.1). Die Vorinstanz hat zu Recht ausgeführt, dass es ihm möglich wäre, Schutz bei den Behörden zu suchen. Dies hat der Beschwerdeführer unterlassen bzw. hat sich nur durch seine Mutter beim Human Rights Council der Vereinten Nationen (HRC) registrieren lassen (BMF-Akten A9/16 Ziff. 10). Die Vorbringen des Beschwerdeführers, er habe bei den sri-lankischen Behörden um Schutz ersucht, aber nicht erhalten, werden nicht konkret belegt und sind als Schutzbehauptungen zu werten. Dass - wie die Vorinstanz zu Recht ausführt - inländische Aufenthaltsalternativen in Betracht kommen, versucht der Beschwerdeführer mit pauschalen Angaben über seinen Aufenthalt in Colombo und Jaffna zu widerlegen. Damit kann er jedoch mangels Substantiierung der Vorbringen nichts zu seinen Gunsten ableiten. Insgesamt zeigt der Beschwerdeführer nicht auf, inwiefern die Vorinstanz Bundesrecht verletzt, eine fehlerhafte Sachverhaltsfeststellung vorgenommen oder das Ermessen nicht sachgerecht ausgeübt haben soll. Daran vermögen auch die eingereichten Beweismittel nichts zu ändern.</w:t>
      </w:r>
    </w:p>
    <w:p>
      <w:r>
        <w:rPr>
          <w:b/>
        </w:rPr>
        <w:t>E. 6.2</w:t>
      </w:r>
    </w:p>
    <w:p>
      <w:r>
        <w:t>Damit ist festzustellen, dass dem Beschwerdeführer ein weiterer Verbleib in Sri Lanka zumutbar ist und er auf den Schutz der Schweiz nicht angewiesen sind. Die Vorinstanz hat demnach dem Beschwerdeführer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