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E-2906/2013 vom 11. März 2014</w:t>
      </w:r>
    </w:p>
    <w:p>
      <w:r>
        <w:t>Bundesverwaltungsgericht, 2014-03-11, DE</w:t>
      </w:r>
    </w:p>
    <w:p>
      <w:r>
        <w:rPr>
          <w:b/>
        </w:rPr>
        <w:t xml:space="preserve">Quelle: </w:t>
      </w:r>
      <w:r>
        <w:t>https://mcp.opencaselaw.ch/entscheid/bvger_E-2906_2013</w:t>
      </w:r>
    </w:p>
    <w:p>
      <w:r>
        <w:t>FR: TAF E-2906/2013 du 11 mars 2014</w:t>
      </w:r>
    </w:p>
    <w:p>
      <w:r>
        <w:t>IT: TAF E-2906/2013 del 11 marzo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i.S. von Art. 32 VGG liegt nicht vor. Das Bundesverwaltungsgericht ist mithin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und Art. 52 VwVG). Auf die Beschwerde ist einzutreten.</w:t>
      </w:r>
    </w:p>
    <w:p>
      <w:r>
        <w:rPr>
          <w:b/>
        </w:rPr>
        <w:t>E. 1.3</w:t>
      </w:r>
    </w:p>
    <w:p>
      <w:r>
        <w:t>Das Verfahren richtet sich nach dem VwVG, soweit das VGG und das AsylG nichts anderes bestimmen (Art. 37 VGG und Art. 6 AsylG).</w:t>
      </w:r>
    </w:p>
    <w:p>
      <w:r>
        <w:rPr>
          <w:b/>
        </w:rPr>
        <w:t>E. 1.4</w:t>
      </w:r>
    </w:p>
    <w:p>
      <w:r>
        <w:t>Die Beschwerde ist im Verfahren einzelrichterlicher Zuständigkeit mit Zustimmung eines zweiten Richters beziehungsweise einer zweiten Richterin zu behandeln, weil sie sich im Ergebnis als offensichtlich begründet erweist (Art. 111 Bst. e AsylG).</w:t>
      </w:r>
    </w:p>
    <w:p>
      <w:r>
        <w:rPr>
          <w:b/>
        </w:rPr>
        <w:t>E. 2.1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Die sri-lankischen Behörden haben die tamilischen Rückkehrer bei der Wiedereinreise in Haft genommen. Daraufhin stellte die Vorinstanz in Aussicht,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die Dossiers jener Personen zu überprüfen, deren Gesuche rechtskräftig abgelehnt worden sind und die mit der Rückführung nach Sri Lanka hätten rechnen müssen. Die Vorinstanz geht damit davon aus, dass der Sachverhalt, wie er der Verfügung vom 17. April 2013 zugrunde liegt, offensichtlich nicht vollständig festgestellt ist. Denn es besteht kein Zweifel, dass eine neue Lagebeurteilung vor Ort sich auf die konkrete Feststellung des rechtserheblichen Sachverhalts auswirken kann.</w:t>
      </w:r>
    </w:p>
    <w:p>
      <w:r>
        <w:rPr>
          <w:b/>
        </w:rPr>
        <w:t>E. 2.2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Beschwerdeinstanz kann die in diesen Fällen fehlende Entscheidungsreife zwar grundsätzlich selbst hergestellt,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w:t>
      </w:r>
    </w:p>
    <w:p>
      <w:r>
        <w:t>Die Beschwerde ist demnach gutzuheissen. Die angefochtene Verfügung ist aufzuheben und die Sache zur vollständigen Sachverhaltsfeststellung sowie zu neuer Entscheidung an die Vorinstanz zurückzuweisen.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4.1</w:t>
      </w:r>
    </w:p>
    <w:p>
      <w:r>
        <w:t>Die Rückweisung gilt praxisgemäss für die Frage der Auferlegung der Gerichtskosten und die Ausrichtung einer Parteientschädigung als vollständiges Obsiegen, unabhängig davon, ob sie überhaupt beantragt oder ob das entsprechende Begehren im Haupt- oder im Eventualantrag gestellt wird (vgl. BGE 137 V 210 E. 7.1, BGE 133 V 450 E. 13, je m.w.H.; Urteile des Bundesverwaltungsgericht E-1209/2011 vom 8. November 2011, D-4751/2009 vom 22. September 2010 und D-62/2010 vom 14. Januar 2010).</w:t>
      </w:r>
    </w:p>
    <w:p>
      <w:r>
        <w:rPr>
          <w:b/>
        </w:rPr>
        <w:t>E. 4.2</w:t>
      </w:r>
    </w:p>
    <w:p>
      <w:r>
        <w:t>Bei diesem Ausgang des Verfahrens sind keine Kosten zu erheben (Art. 63 Abs. 1 und 2 VwVG). Der am 21. Juni 2013 geleistete Kostenvorschuss in der Höhe von Fr. 600.- ist zurückzuerstatten.</w:t>
      </w:r>
    </w:p>
    <w:p>
      <w:r>
        <w:rPr>
          <w:b/>
        </w:rPr>
        <w:t>E. 4.3</w:t>
      </w:r>
    </w:p>
    <w:p>
      <w:r>
        <w:t>Dem obsiegenden und vertretenen Beschwerdeführer ist zulasten der Vorinstanz eine Parteientschädigung für die ihm erwachsenen notwendigen und verhältnismässig hohen Kosten zuzusprechen (Art. 64 Abs.1 VwVG i.V.m. Art. 7 des Reglements vom 21. Februar 2008 über die Kos­ten und Entschädigungen vor dem Bundesverwaltungsgericht [VGKE, SR 173.320.2]). Der Rechtsvertreter hat keine Kostennote eingereicht. Der entstandene Vertretungsaufwand kann jedoch aufgrund der Akten zuverlässig abgeschätzt werden (Art. 14 Abs. 2 VGKE). Dem Beschwerdeführer ist zu Lasten des BFM unter Berücksichtigung der massgebenden Bemessungsfaktoren (Art. 9 ff. VGKE) und der Entschädigungspraxis in vergleichbaren Fällen eine Parteientschädigung für den Aufwand seines Rechtsvertreters von insgesamt Fr. 1800.- (inkl. Auslagen und Mehrwertsteueranteil)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