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E-2903/2025 vom 14. April 2025</w:t>
      </w:r>
    </w:p>
    <w:p>
      <w:r>
        <w:t>Bundesverwaltungsgericht, 2025-04-14, DE</w:t>
      </w:r>
    </w:p>
    <w:p>
      <w:r>
        <w:rPr>
          <w:b/>
        </w:rPr>
        <w:t xml:space="preserve">Quelle: </w:t>
      </w:r>
      <w:r>
        <w:t>https://mcp.opencaselaw.ch/entscheid/bvger_E-2903_2025_d20250414</w:t>
      </w:r>
    </w:p>
    <w:p>
      <w:r>
        <w:t>FR: TAF E-2903/2025 du 14 avril 2025</w:t>
      </w:r>
    </w:p>
    <w:p>
      <w:r>
        <w:t>IT: TAF E-2903/2025 del 14 aprile 2025</w:t>
      </w:r>
    </w:p>
    <w:p>
      <w:pPr>
        <w:pStyle w:val="Heading2"/>
      </w:pPr>
      <w:r>
        <w:t>Regeste</w:t>
      </w:r>
    </w:p>
    <w:p>
      <w:r>
        <w:t>Vollzug der Wegweisung (Art. 40 i.V.m. Art. 6a Abs. 2 AsylG) | Vollzug der Wegweisung (Art. 40 i.V.m. Art. 6a Abs. 2 AsylG); Verfügung des SEM vom 14. April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den Beschwerdeführenden aufzuerlegen sind (Art. 63 Abs. 1 VwVG).</w:t>
      </w:r>
    </w:p>
    <w:p>
      <w:r>
        <w:t>(Dispositiv nächste Seite)</w:t>
      </w:r>
    </w:p>
    <w:p>
      <w:r>
        <w:t>E-2903/2025 Seite 8</w:t>
      </w:r>
    </w:p>
    <w:p>
      <w:r>
        <w:rPr>
          <w:b/>
        </w:rPr>
        <w:t>E. 4</w:t>
      </w:r>
    </w:p>
    <w:p>
      <w:r>
        <w:t>Dieses Urteil geht an die Beschwerdeführenden, das SEM und die kantonale Migrationsbehörde. Die Einzelrichterin: Die Gerichtsschreiberin: Gabriela Freihofer Lhazom Pünkang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