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E-2890/2024 vom 4. Juli 2024</w:t>
      </w:r>
    </w:p>
    <w:p>
      <w:r>
        <w:t>Bundesverwaltungsgericht, 2024-07-04, DE</w:t>
      </w:r>
    </w:p>
    <w:p>
      <w:r>
        <w:rPr>
          <w:b/>
        </w:rPr>
        <w:t xml:space="preserve">Quelle: </w:t>
      </w:r>
      <w:r>
        <w:t>https://mcp.opencaselaw.ch/entscheid/bvger_E-2890_2024</w:t>
      </w:r>
    </w:p>
    <w:p>
      <w:r>
        <w:t>FR: TAF E-2890/2024 du 4 juillet 2024</w:t>
      </w:r>
    </w:p>
    <w:p>
      <w:r>
        <w:t>IT: TAF E-2890/2024 del 4 luglio 2024</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Im Revisionsgesuch ist insbesondere der angerufene Revisionsgrund anzugeben, wobei die in Art. 121-123 BGG enthaltene Aufzählung der Revisionsgründe abschliessend ist. Sodann ist die Rechtzeitigkeit des Revisionsbegehrens im Sinne von Art. 124 BGG darzutun. Das Gesuch hat auch die Begehren für den Fall eines neuen Beschwerdeentscheides zu enthalten (Art. 47 VGG i.V.m. Art. 67 Abs. 3 VwVG).</w:t>
      </w:r>
    </w:p>
    <w:p>
      <w:r>
        <w:rPr>
          <w:b/>
        </w:rPr>
        <w:t>E. 1.5</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 et al., Prozessieren vor dem Bundesverwaltungsgericht, 3. Aufl. 2022, S. 348 Rz. 5.36).</w:t>
      </w:r>
    </w:p>
    <w:p>
      <w:r>
        <w:rPr>
          <w:b/>
        </w:rPr>
        <w:t>E. 2</w:t>
      </w:r>
    </w:p>
    <w:p>
      <w:r>
        <w:t>Der Gesuchsteller ist durch das Beschwerdeurteil E-27/2024 vom 2. Februar 2024 besonders berührt und hat ein schutzwürdiges Interesse an dessen Aufhebung oder Änderung. Er ist daher zur Einreichung des Revisionsgesuchs legitimiert (Art. 89 Abs. 1 BGG analog; vgl. André Moser et al., a.a.O., Rz. 5.70). Der Gesuchsteller nennt in seiner Eingabe den angerufenen Revisionsgrund und auch die übrigen Formvorschriften sind grundsätzlich erfüllt. In Bezug auf die gestellten Rechtsbegehren ist darauf hinzuweisen, dass die Frage, ob der Gesuchsteller die Flüchtlingseigenschaft erfüllt und ihm Asyl zu gewähren ist, nicht Gegenstand des vorliegenden Revisionsverfahrens sein kann, sondern - gegebenenfalls bei Gutheissung des Revisionsgesuches - des wiederaufzunehmenden Beschwerdeverfahrens.</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(sog. unechte Noven), unter Ausschluss der Tatsachen und Beweismittel, die erst nach dem Entscheid entstanden sind (sog. echte Noven).</w:t>
      </w:r>
    </w:p>
    <w:p>
      <w:r>
        <w:rPr>
          <w:b/>
        </w:rPr>
        <w:t>E. 3.2</w:t>
      </w:r>
    </w:p>
    <w:p>
      <w:r>
        <w:t>Der Revision nicht zugänglich sind auch diejenigen Tatsachen und Beweismittel im Sinne von Art. 123 Abs. 2 Bst. a BGG, die von der ersuchenden Partei bei genügender Sorgfalt bereits in das frühere Verfahren hätten eingebracht werden können (vgl. Art. 46 VGG sowie Niklaus Oberholzer in: Bundesgerichtsgesetz, Handkommentar, 2. Aufl. 2015, Art. 123 BGG N. 8 S. 663).</w:t>
      </w:r>
    </w:p>
    <w:p>
      <w:r>
        <w:rPr>
          <w:b/>
        </w:rPr>
        <w:t>E. 4.1</w:t>
      </w:r>
    </w:p>
    <w:p>
      <w:r>
        <w:t>Der Gesuchsteller ruft den Revisionsgrund von Art. 123 Abs. 2 Bst. a BGG an und macht geltend, die mit dem Revisionsgesuch eingereichten beglaubigten Kopien beziehungsweise Originale der bereits im bundesverwaltungsgerichtlichen Verfahren E-27/2024 eingereichten Dokumente betreffend das eingeleitete Ermittlungsverfahren seien nachträglich erfahrene rechtserhebliche Tatsachen und nachträglich aufgefundene relevante Beweismittel im Sinne von Art. 123 Abs. 2 Bst. a BGG. Hiervon habe er während des Beschwerdeverfahrens E-27/2024 keine Kenntnis gehabt und damit sei nachgewiesen, dass gegen ihn ein strafrechtliches Ermittlungsverfahren eingeleitet worden sei.</w:t>
      </w:r>
    </w:p>
    <w:p>
      <w:r>
        <w:rPr>
          <w:b/>
        </w:rPr>
        <w:t>E. 4.2</w:t>
      </w:r>
    </w:p>
    <w:p>
      <w:r>
        <w:t>Der Gesuchsteller reicht - wenn auch (nun) in beglaubigten Kopien beziehungsweise im Original - die gleichen Ermittlungsakten ein, die er bereits im Beschwerdeverfahren E-27/2024 beigebracht hat und die dort einlässlich beurteilt worden sind. Demnach ist nicht ersichtlich, inwiefern sie sich entweder auf nachträglich erfahrene Tatsachen oder auf nachträglich aufgefundene Beweismittel stützen würden. Die Behauptung des Gesuchstellers, er habe im Beschwerdeverfahren E-27/2024 vom Ermittlungsverfahren keine Kenntnis gehabt, ist daher offensichtlich haltlos. Es liegen somit keine unechten Noven vor, die einer Revision zugänglich wären.</w:t>
      </w:r>
    </w:p>
    <w:p>
      <w:r>
        <w:rPr>
          <w:b/>
        </w:rPr>
        <w:t>E. 4.3</w:t>
      </w:r>
    </w:p>
    <w:p>
      <w:r>
        <w:t>Soweit der Gesuchsteller sinngemäss vorbringt, die Beweismittel seien insofern der Revision zugänglich, als er unverschuldet erst nach dem Beschwerdeurteil Zugang zu den Originalen respektive beglaubigten Kopien gehabt habe, ist festzustellen, dass sich die Beweismittel unabhängig von der Frage der unverschuldeten Verspätung auch nicht als erheblich erweisen. Entgegen der Auffassung des Gesuchstellers stützte sich das Bundesverwaltungsgericht in seinem Urteil nicht nur auf die Argumentation der fehlenden Originale respektive Beweiskraft, sondern gelangte unbesehen davon zum Schluss, auch bei Echtheit der eingereichten Dokumente vermöchten sie keine begründete Furcht vor Verfolgung zu begründen (Urteil E-27/2024 E. 9.5). Demnach vermag eine gegebenenfalls höhere Beweiskraft der Dokumente von vornherein nichts zu bewirken.</w:t>
      </w:r>
    </w:p>
    <w:p>
      <w:r>
        <w:rPr>
          <w:b/>
        </w:rPr>
        <w:t>E. 4.4</w:t>
      </w:r>
    </w:p>
    <w:p>
      <w:r>
        <w:t>Unter engen Voraussetzungen können revisionsweise Vorbringen, die verspätet sind, dennoch zur Revision eines rechtskräftigen Urteils führen. Dies setzt jedoch voraus, dass aufgrund dieser Vorbringen offensichtlich wird, dass dem Gesuchsteller Verfolgung oder unmenschliche Behandlung drohen und damit ein völkerrechtliches Wegweisungsvollzugshindernis besteht. Dabei genügt es praxisgemäss nicht, eine drohende Verletzung von Art. 3 EMRK respektive Art. 33 des Abkommens vom 28. Juli 1951 über die Rechtsstellung der Flüchtlinge (FK, SR 0.142.30) lediglich zu behaupten, sondern der Gesuchsteller muss die beachtliche Wahrscheinlichkeit einer aktuellen und ernsthaften Gefahr vielmehr schlüssig nachweisen (vgl. BVGE 2021 VI/4 E. 9.1, mit Verweis auf Entscheidungen und Mitteilungen der Schweizerischen Asylrekurskommission [EMARK] 1995 Nr. 9). Der Gesuchsteller erbringt einen solchen Nachweis offensichtlich nicht.</w:t>
      </w:r>
    </w:p>
    <w:p>
      <w:r>
        <w:rPr>
          <w:b/>
        </w:rPr>
        <w:t>E. 5</w:t>
      </w:r>
    </w:p>
    <w:p>
      <w:r>
        <w:t>Zusammenfassend ist festzuhalten, dass keine revisionsrechtlich zugelassenen Gründe dargetan sind. Das Gesuch um Revision des Urteils des Bundesverwaltungsgerichts E-27/2024 vom 2. Februar 2024 ist demzufolge abzuweisen, soweit darauf einzutreten ist.</w:t>
      </w:r>
    </w:p>
    <w:p>
      <w:r>
        <w:rPr>
          <w:b/>
        </w:rPr>
        <w:t>E. 6</w:t>
      </w:r>
    </w:p>
    <w:p>
      <w:r>
        <w:t>Bei diesem Ausgang des Verfahrens sind die Kosten dem Gesuchsteller aufzuerlegen (Art. 37 VGG i.V.m. Art. 63 Abs. 1 VwVG). Diese sind auf Fr. 2'000.- festzusetzen (Art. 1-3 des Reglements vom 21. Februar 2008 über die Kosten und Entschädigungen vor dem Bundesverwaltungsgericht [VGKE, SR 173.320.2]). Der am 31. Mai 2024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