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E-2890/2023 vom 17. April 2023</w:t>
      </w:r>
    </w:p>
    <w:p>
      <w:r>
        <w:t>Bundesverwaltungsgericht, 2023-04-17, DE</w:t>
      </w:r>
    </w:p>
    <w:p>
      <w:r>
        <w:rPr>
          <w:b/>
        </w:rPr>
        <w:t xml:space="preserve">Quelle: </w:t>
      </w:r>
      <w:r>
        <w:t>https://mcp.opencaselaw.ch/entscheid/bvger_E-2890_2023_d20230417</w:t>
      </w:r>
    </w:p>
    <w:p>
      <w:r>
        <w:t>FR: TAF E-2890/2023 du 17 avril 2023</w:t>
      </w:r>
    </w:p>
    <w:p>
      <w:r>
        <w:t>IT: TAF E-2890/2023 del 17 aprile 2023</w:t>
      </w:r>
    </w:p>
    <w:p>
      <w:pPr>
        <w:pStyle w:val="Heading2"/>
      </w:pPr>
      <w:r>
        <w:t>Regeste</w:t>
      </w:r>
    </w:p>
    <w:p>
      <w:r>
        <w:t>Asyl (ohne Wegweisungsvollzug) (beschleunigtes Verfahren) | Asyl (ohne Wegweisungsvollzug) (beschleunigtes Verfahren); Verfügung des SEM vom 17. April 2023</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(SR 142.31) durch das SEM erlassen worden sind, entscheidet das Bundesverwaltungsgericht – in der Regel und auch vorliegend –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 gereichte Beschwerde ist einzutreten (Art. 105 und Art. 108 Abs. 1 AsylG; i.V.m. der damals geltenden Art. 10 der Covid-19-VO, Art. 37 VGG i.V.m. Art. 48 Abs. 1 und Art. 52 Abs. 1 VwVG).</w:t>
      </w:r>
    </w:p>
    <w:p>
      <w:r>
        <w:rPr>
          <w:b/>
        </w:rPr>
        <w:t>E. 3.1</w:t>
      </w:r>
    </w:p>
    <w:p>
      <w:r>
        <w:t>Die Beschwerde ist im Verfahren einzelrichterlicher Zuständigkeit mit Zustimmung eines zweiten Richters oder einer zweiten Richterin zu behan- deln, weil sie sich im Ergebnis als offensichtlich begründet erweist (Art. 111 Bst. e AsylG).</w:t>
      </w:r>
    </w:p>
    <w:p>
      <w:r>
        <w:rPr>
          <w:b/>
        </w:rPr>
        <w:t>E. 3.2</w:t>
      </w:r>
    </w:p>
    <w:p>
      <w:r>
        <w:t>Gestützt auf Art. 111a Abs. 1 AsylG wurde vorliegend auf die Durchfüh- rung eines Schriftenwechsels verzichtet.</w:t>
      </w:r>
    </w:p>
    <w:p>
      <w:r>
        <w:rPr>
          <w:b/>
        </w:rPr>
        <w:t>E. 4.1</w:t>
      </w:r>
    </w:p>
    <w:p>
      <w:r>
        <w:t>Die Beschwerdeeingabe richtet sich ausschliesslich gegen die Ziffern 1-3 der SEM-Verfügung vom 17. April 2023 (Feststellung des SEM, die</w:t>
      </w:r>
    </w:p>
    <w:p>
      <w:r>
        <w:t>E-2890/2023 Seite 6 Beschwerdeführerin erfülle die Flüchtlingseigenschaft nicht, die Ablehnung des Asylgesuchs sowie die Anordnung der Wegweisung als solche). Die Beschwerdeführerin wurde vom SEM wegen der Unzumutbarkeit des Weg- weisungsvollzuges vorläufig aufgenommen (vgl. Dispositivziffer 4). Die Frage des Vollzugs der Wegweisung bildet damit nicht Gegenstand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BVGer: BVGE 2015/3 E. 6.2, Referenzurteil D-5779/2013 vom 25. Februar 2015 E. 5.3 und 5.7.2, BVGE 2020 VI/4 E. 5.3). Am 8. Dezember 2024 kam es in Syrien zum Sturz des bisherigen staatlichen Regimes unter Präsident Bashar al-Assad, wodurch die mehr als fünfzigjährige Herrschaft der Assad-Familie endete. Seither hat sich unter dem Vorsitz von Ahmed al-Sharaa, dem Anführer des Hay’at Tahrir al-Sham (HTS; Komitee zur Befreiung der Levante), der wich- tigsten Gruppierung innerhalb der für den Umsturz verantwortlichen</w:t>
      </w:r>
    </w:p>
    <w:p>
      <w:r>
        <w:t>E-2890/2023 Seite 7 Koalition bewaffneter Oppositionsgruppen, eine Übergangsregierung ge- bildet. Am 13. März 2025 wurde eine sogenannte «Verfassungserklärung» verabschiedet, die als rechtliche Grundlage für die politische Übergangs- phase dienen soll. Die Verfassungserklärung und die konkreten Modalitä- ten der staatlichen Reformen bleiben umstritten, wobei insbesondere die wichtigsten syrisch-kurdischen Akteure, darunter namentlich die hinter der Autonomen Administration Nord- und Ostsyrien (englisch «Democratic Au- tonomous Administration of North and East Syria»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 nopols, die allgemeine Sicherheit sowie die ökonomische und humanitäre Lage (vgl. zum Ganzen EUROPEAN UNION AGENCY FOR ASYLUM, Syria: Country Focus, Country of Origin Information Report, März 2025, S. 19 ff.; INTERNATIONAL CRISIS GROUP, What lies in store for Syria as a new govern- ment takes power?, 25. April 2025; MINISTERIE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w:t>
      </w:r>
    </w:p>
    <w:p>
      <w:r>
        <w:t>E-2890/2023 Seite 8 staatlichen Regimes zu ziehen sind. Dabei ist nicht nur eine Beurteilung der aktuellen Situation in Syrien vor dem Hintergrund der Ereignisse seit dem 8. Dezember 2024 vorzunehmen. Sodann ist zu prüfen, inwiefern sich die betreffenden Veränderungen der Lage im Heimatstaat auf die von der Beschwerdeführerin geltend gemachten Asylgründe auswirken. Eine sol- che umfassende Beurteilung eines grundlegend veränderten Sachverhalts ist nicht auf Beschwerdeebene, sondern im Rahmen eines erstinstanzli- chen Verfahrens durch das SEM vorzunehmen. Es rechtfertigt sich deshalb eine Kassation der angefochtenen Verfügung. Dabei wird durch die Vo- rinstanz bei der Abklärung des Sachverhalts zum einen die erforderliche allgemeine Lagebeurteilung vorzunehmen, zum anderen der Beschwerde- führerin in angemessener Weise das rechtliche Gehör zu erteilen sein. Im Übrigen bleibt auf diese Weise der Instanzenzug erhalten, was umso we- sentlicher ist, als das Bundesverwaltungsgericht im Anwendungsbereich des AsylG als einzige gerichtliche Behörde und mithin letztinstanzlich ent- scheidet (vgl. zum Ganzen auch Urteil des BVGer D-7647/2024 vom 9. Juli 2025 E. 6).</w:t>
      </w:r>
    </w:p>
    <w:p>
      <w:r>
        <w:rPr>
          <w:b/>
        </w:rPr>
        <w:t>E. 7</w:t>
      </w:r>
    </w:p>
    <w:p>
      <w:r>
        <w:t>Nach dem Gesagten ist die Beschwerde gutzuheissen, soweit die Aufhe- bung der Dispositivziffern 1 bis 3 der angefochtenen Verfügung und die Rückweisung an die Vorinstanz beantragt werden. Das SEM ist aufzufor- dern, die erforderlichen Massnahmen durchzuführen und gestützt auf die entsprechenden Erkenntnisse sowie unter Berücksichtigung der auf Be- schwerdeebene (vgl. oben Bst. M. und Q) vorgetragenen Argumentation das Asylgesuch der Beschwerdeführerin erneut zu prüfen.</w:t>
      </w:r>
    </w:p>
    <w:p>
      <w:r>
        <w:rPr>
          <w:b/>
        </w:rPr>
        <w:t>E. 8.1</w:t>
      </w:r>
    </w:p>
    <w:p>
      <w:r>
        <w:t>Bei diesem Ausgang des Verfahrens sind keine Kosten zu erheben (Art. 63 Abs. 3 VwVG i.V.m. Art. 37 VGG).</w:t>
      </w:r>
    </w:p>
    <w:p>
      <w:r>
        <w:rPr>
          <w:b/>
        </w:rPr>
        <w:t>E. 8.2</w:t>
      </w:r>
    </w:p>
    <w:p>
      <w:r>
        <w:t>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ausserdem Art. 7 ff. des Reglements über die Kosten und Entschädigungen vor dem Bundes- verwaltungsgericht vom 21. Februar 2008 [VGKE, SR 173.320.2]). Der vertretenen Beschwerdeführerin ist keine Parteientschädigung auszu- richten, da es sich vorliegend um eine zugewiesene unentgeltliche</w:t>
      </w:r>
    </w:p>
    <w:p>
      <w:r>
        <w:t>E-2890/2023 Seite 9 Rechtsvertretung im Sinne von Art. 102h AsylG handelt, deren Leistungen vom Bund nach Massgabe von Art. 102k AsylG entschädigt werden (vgl. auch Art. 111ater AsylG).</w:t>
      </w:r>
    </w:p>
    <w:p>
      <w:r>
        <w:t>(Dispositiv nächste Seite)</w:t>
      </w:r>
    </w:p>
    <w:p>
      <w:r>
        <w:t>E-2890/2023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