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E-2878/2019 vom 27. Juni 2019</w:t>
      </w:r>
    </w:p>
    <w:p>
      <w:r>
        <w:t>Bundesverwaltungsgericht, 2019-06-27, FR</w:t>
      </w:r>
    </w:p>
    <w:p>
      <w:r>
        <w:rPr>
          <w:b/>
        </w:rPr>
        <w:t xml:space="preserve">Quelle: </w:t>
      </w:r>
      <w:r>
        <w:t>https://mcp.opencaselaw.ch/entscheid/bvger_E-2878_2019</w:t>
      </w:r>
    </w:p>
    <w:p>
      <w:r>
        <w:t>FR: TAF E-2878/2019 du 27 juin 2019</w:t>
      </w:r>
    </w:p>
    <w:p>
      <w:r>
        <w:t>IT: TAF E-2878/2019 del 27 giugno 2019</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les délais prescrits par la loi, le recours est recevable (art. 48 et 52 PA et art. 108 al. 1 LAsi).</w:t>
      </w:r>
    </w:p>
    <w:p>
      <w:r>
        <w:rPr>
          <w:b/>
        </w:rPr>
        <w:t>E. 1.3</w:t>
      </w:r>
    </w:p>
    <w:p>
      <w:r>
        <w:t>Il est renoncé à un échange d'écritures dans la présente affaire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caractère crédible et sérieux de ses motifs ; le Tribunal ne considère dès lors pas que la décision attaquée soit insuffisamment motivée ou que l'instruction ait été insuffisante, ainsi que le soutient le recourant.</w:t>
      </w:r>
    </w:p>
    <w:p>
      <w:r>
        <w:rPr>
          <w:b/>
        </w:rPr>
        <w:t>E. 3.2</w:t>
      </w:r>
    </w:p>
    <w:p>
      <w:r>
        <w:t>En effet, si le Tribunal ne remet pas en cause la réalité de son engagement religieux, ses déclarations ne permettent cependant pas de retenir que les autorités iraniennes en aient été informées. Il ressort ainsi du récit que, tentant de procéder à des conversions, le recourant a toujours agi de manière prudente, ne s'adressant qu'à des personnes soigneusement choisies (cf. procès-verbal [ci-après : p.-v.] d'audition du 21 mai 2019, questions 85 et 98) ; il a décrit du reste cette activité en termes très vagues, précisant qu'il "sauvait" ses interlocuteurs (cf. idem, questions 90-95). Quant au lieu de culte qu'il aurait installé à son domicile, il n'apparaît pas non plus que les autorités en aient su quelque chose, seuls ses proches étant au courant (cf. idem, questions 97 et 98). S'agissant des distributions de bibles qu'il aurait menées, il a déclaré qu'elles lui auraient été remises par G._______ et que ce dernier n'avait aucune relation avec ses deux amis arrêtés le (...) 2018 ; ces derniers auraient été interpellés en raison de leur propre activité prosélyte (cf. p.-v. d'audition du 21 mai 2019, questions 64 et 104). La thèse soutenue dans l'acte de recours (cf. p. 8) ne correspond ainsi pas aux dires initiaux de l'intéressé. Il est d'ailleurs à noter que G._______, signataire de l'attestation de (...) 2019 produite par le recourant, ne semble pas avoir rencontré, pour sa part, de problèmes avec les autorités. Le recourant soutient certes que les services de renseignement, responsables des arrestations précitées, auraient pu l'identifier en interrogeant ses deux amis ou en examinant leur téléphone ; néanmoins, force est de constater qu'il n'a pas fait l'objet de recherches durant les quatre mois ([...] 2018 à [...] 2019) qu'il aurait passés caché chez son oncle et que sa famille n'a pas non plus reçu la visite des autorités durant cette période. Aucune perquisition n'a eu lieu, alors que cela aurait été la première mesure de police qui serait intervenue si les services de renseignements avaient recueilli des indices contre lui. Le Tribunal doit donc en arriver à la conclusion que le recourant n'a jamais été identifié par les autorités iraniennes, du fait de sa prudence et du caractère très discret de ses efforts de prosélytisme. Le Tribunal doute également de la réalité du départ clandestin et pressant d'Iran que décrit le recourant : en effet, il saisit mal comment le visa, valable dès le (...) mars 2019, n'aurait pu lui être délivré que la veille de son départ, soit le (...) avril 2019. Le fait que l'intéressé ait détruit son passeport permet dès lors de soupçonner qu'il tente de dissimuler un élément essentiel, comme un départ d'Iran antérieur à la date alléguée et peut-être effectué de manière ouverte.</w:t>
      </w:r>
    </w:p>
    <w:p>
      <w:r>
        <w:rPr>
          <w:b/>
        </w:rPr>
        <w:t>E. 3.3</w:t>
      </w:r>
    </w:p>
    <w:p>
      <w:r>
        <w:t>Rien ne permet par ailleurs de retenir l'existence d'une crainte fondée de persécution en cas de retour. En effet, pour les raisons exposées, il est douteux que les autorités iraniennes recherchent aujourd'hui l'intéressé, celui-ci n'ayant du reste fait état d'aucun indice concret dans ce sens, provenant par exemple de sa famille. Le tatouage que porte le recourant, s'il peut effectivement indiquer aux tiers son affiliation au christianisme, peut cependant être dissimulé ou effacé ; il ne saurait, en lui-même, constituer une cause crédible de persécution. En outre, ainsi qu'il sera vu par la suite, la seule confession du recourant ne suffit pas à l'exposer de manière pressante et sérieuse à un tel risque. En ce qui concerne l'attestation signée par G._______, elle est rédigée en termes très généraux, sans détails concrets ; elle a manifestement été émise sur demande du recourant lui-même, comme l'indique le fait qu'elle soit nommément destinée au SEM. Le Tribunal ne peut donc accorder à cette pièce de portée probatoire particulière. Par conséquent, le Tribunal ne discerne pas en quoi l'instruction de la cause par le SEM aurait été insuffisante, ni quelles mesures d'instruction particulières auraient été nécessaires.</w:t>
      </w:r>
    </w:p>
    <w:p>
      <w:r>
        <w:rPr>
          <w:b/>
        </w:rPr>
        <w:t>E. 3.4</w:t>
      </w:r>
    </w:p>
    <w:p>
      <w:r>
        <w:t>Sur un plan plus large, il apparaît que, quand bien même elle serait connue des autorités, l'affiliation religieuse du recourant n'est pas de nature à l'exposer à un risque de persécution hautement probable, ainsi que cela ressort de la jurisprudence du Tribunal (cf. ATAF 2009/28, en partic. consid. 7.3.3 et 7.3.4) et de celle de la Cour européenne des droits de l'homme (cf. arrêt de la Cour EDH du 19 décembre 2017 dans l'affaire A. c/ Suisse, requête n° 60342/16). En effet, les autorités iraniennes ne s'en prennent pas systématiquement aux personnes converties au christianisme. S'il juge à propos d'entretenir une pratique religieuse chrétienne après son retour en Iran, le recourant ne courra pas davantage de risque, dans la mesure où cette pratique reste discrète - ainsi qu'elle l'a été jusqu'à son départ - et où il s'abstient de tout prosélytisme (cf. arrêts E-6100/2018 du 6 décembre 2018 consid. 3.4 et 4 ainsi que E-2535/2015 du 21 septembre 2017 consid. 4.3 et les réf. cit.). La pratique paisible et discrète de la foi chrétienne reste en principe sans conséquence (cf. arrêts D-3473/2014 du 13 décembre 2016 consid. 6.3.3 ainsi que D-2901/2013 du 22 juillet 2013 consid. 4.4.1 et réf. cit.). Le rapport de l'Organisation suisse d'aide aux réfugiés (OSAR) qui a été produit (cf. OSAR, Menaces pesant sur les personnes converties, 7 juin 2018) retient certes que la situation des convertis n'est pas sans risque, surtout s'ils pratiquent un culte à domicile. Cependant, ainsi qu'il a été constaté, il n'est pas vraisemblable que les autorités iraniennes aient eu connaissance des activités religieuses du recourant.</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au regard de l'absence de risques concrets et sérieux de cette nature, le Tribunal admet que l'exécution du renvoi du recourant sous forme de refoulement ne transgresse aucun engagement de la Suisse relevant du droit international, de sorte qu'elle s'avère licite (art. 44 LAsi et art. 83 al. 3 LEI).</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5.3.1</w:t>
      </w:r>
    </w:p>
    <w:p>
      <w:r>
        <w:t>L'Iran n'est pas affecté par une situation d'instabilité qui permettrait d'emblée - et indépendamment des circonstances du cas d'espèce - de présumer, à propos de tous les ressortissants du pays, l'existence d'une mise en danger concrète au sens de cette disposition. En outre, il ne ressort du dossier aucun élément dont on pourrait inférer que l'exécution du renvoi impliquerait une mise en danger concrète du recourant. A cet égard, l'autorité de céans relève notamment qu'il est jeune, sans charge de famille et dispose d'une solide expérience professionnelle dans l'informatique, qui lui rapportait un revenu appréciable. De plus, il dispose du soutien de sa famille, résidant à D._______, dont le niveau de vie est prospère (cf. p.-v. d'audition du 21 mai 2019, questions 20, 30 à 32).</w:t>
      </w:r>
    </w:p>
    <w:p>
      <w:r>
        <w:rPr>
          <w:b/>
        </w:rPr>
        <w:t>E. 5.3.2</w:t>
      </w:r>
    </w:p>
    <w:p>
      <w:r>
        <w:t>S'agissant de son état de santé, le Tribunal rappelle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Il ressort des renseignements médicaux versés au dossier que l'état dépressif touchant le recourant nécessite avant tout un traitement médicamenteux ; les médicaments nécessaires pourront lui être remis dans le cadre d'une aide au retour appropriée (art. 93 al. 1 let. d LAsi). Par ailleurs, les soins psychiatriques sont également accessibles en Iran. Ils y sont d'une qualité suffisante, en tout cas à Téhéran, dans des conditions de coût supportables (cf. OSAR, Iran : Behandlung einer chronischen Depression, novembre 2008). La plupart des médicaments sont accessibles, dont les antidépresseurs et les anxiolytiques, et le gouvernement tente de garantir pour tous les Iraniens la gratuité des traitements médicaux et de l'approvisionnement en médicaments (cf. l'arrêt E-6582/2016 du 12 juin 2018, consid. 6.4 et les réf. cit.). 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w:t>
      </w:r>
    </w:p>
    <w:p>
      <w:r>
        <w:t>Le Tribunal fait droit à la requête du recourant et admet la requête d'assistance judiciaire partielle, compte tenu de son incapacité à assumer les frais de la procédure et de ce que les conclusions du recours, au moment de leur dépôt, n'apparaissaient pas vouées à l'échec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