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E-2878/2017 vom 22. Juni 2017</w:t>
      </w:r>
    </w:p>
    <w:p>
      <w:r>
        <w:t>Bundesverwaltungsgericht, 2017-06-22, DE</w:t>
      </w:r>
    </w:p>
    <w:p>
      <w:r>
        <w:rPr>
          <w:b/>
        </w:rPr>
        <w:t xml:space="preserve">Quelle: </w:t>
      </w:r>
      <w:r>
        <w:t>https://mcp.opencaselaw.ch/entscheid/bvger_E-2878_2017</w:t>
      </w:r>
    </w:p>
    <w:p>
      <w:r>
        <w:t>FR: TAF E-2878/2017 du 22 juin 2017</w:t>
      </w:r>
    </w:p>
    <w:p>
      <w:r>
        <w:t>IT: TAF E-2878/2017 del 22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Gemäss Art. 111a Abs. 1 AsylG verzichtet das Bundesverwaltungsgericht auf einen Schriftenwechsel.</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zutreffend begründet, welche Vorbringen nicht von Asylrelevanz und welche Aussagen unglaubhaft sind. Die Beschwerdeausführungen wenden sich ausschliesslich gegen den verfügten Wegweisungsvollzug, womit die übrigen vorinstanzlichen Erwägungen implizit bestätigt werden. Um Wiederholungen zu vermeiden, ist auf die Ausführungen der Vorinstanz zu verweisen, die zu Recht das Asylgesuch abgelehnt hat.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(Art. 44 AsylG; Art. 83 Abs. 1 AuG).</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Anhaltspunkte dafür, dass der Beschwerdeführer für den Fall einer Ausschaffung in seiner Heimat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Zur Zumutbarkeit des Wegweisungsvollzugs führt die Vorinstanz im Wesentlichen aus, der Beschwerdeführer stamme aus Kabul. Gemäss konstanter Rechtsprechung sei ein Vollzug der Wegweisung dorthin nicht generell unzumutbar. Von der Zumutbarkeit sei namentlich auszugehen, wenn begünstigende Umstände vorliegen würden, was vorliegend der Fall sei. Der minderjährige Beschwerdeführer verfüge über ein tragfähiges Beziehungsnetz und intakte Familienverhältnisse, aufgrund dener davon auszugehen sei, dass er bei einer Rückkehr von seiner Familie aufgenommen werde und diese in der Lage sei, seine Bedürfnisse abzudecken. So habe er bis zu seiner Ausreise aus Afghanistan zusammen mit seinen Eltern und seinen Geschwistern in Kabul gelebt. Seine Familie lebe in einer Mietwohnung und sein Vater arbeite als Wächter in einer Firma. Die finanzielle Lage sei gemäss Angaben des Beschwerdeführers zwar nicht hundertprozentig, aber achtzigprozentig gut gewesen (SEM-Akten, A26, S. 4, F19). Sein Vater habe ihm seine Reise nach Europa finanziert (SEM-Akten, A8, S. 8), wovon eine Unterstützungsbereitschaft ableitbar sei. Zudem habe der Beschwerdeführer nach seiner Ausreise aus Afghanistan in Kontakt zu seiner Familie gestanden und habe im Verlauf seines schweizerischen Asylverfahrens über diese Identitätsdokumente beschaffen können (SEM-Akten, A26, S. 3, F7). Vor dem Hintergrund der Unglaubhaftigkeit seiner Verfolgungssituation sei ebenfalls unglaubhaft, dass er seit Anfang 2017 plötzlich keinen Kontakt mehr zu seinen Eltern habe und nicht wisse, wo sich seine Familie seither befinde. Hinzu komme, dass er in Kabul über ein breites soziales Beziehungsnetzt verfüge. So sei er beispielsweise vor Ort mehrere Jahre in einem Kampfsportclub gewesen, zur Schule gegangen und sei bei einer Firma für SIM-Karten angestellt gewesen (SEM-Akten, A26, S. 3 f., F11 und F20 ff.). Was das Kindeswohl anbelange, würden die Familienangehörigen - wichtigste Bezugspersonen eines Minderjährigen - nicht in der Schweiz, sondern vor Ort leben und sei seine Integration in der Schweiz aufgrund seines kurzen Aufenthalts als gering zu bezeichnen.</w:t>
      </w:r>
    </w:p>
    <w:p>
      <w:r>
        <w:rPr>
          <w:b/>
        </w:rPr>
        <w:t>E. 6.3.2</w:t>
      </w:r>
    </w:p>
    <w:p>
      <w:r>
        <w:t>Die Beschwerde stellt den vorinstanzlichen Erwägungen unter Verweis auf die Beschwerdebeilagen (Berichte und Zeitungsartikel zur Lage in Afghanistan und insbesondere in Kabul) im Wesentlichen entgegen, die vorinstanzliche Verfügung lasse eine detaillierte Auseinandersetzung mit der individuellen Situation des Beschwerdeführers im Wegweisungspunkt missen. Die Vorinstanz habe ihre vom Bundesverwaltungsgericht auferlegte Abklärungspflicht verletzt, indem sie von einem tragfähigen Beziehungsnetz ausgegangen sei und Kriterien, wie etwa die Unterstützungsbereitschaft und -fähigkeit, nicht gewürdigt habe. Zahlreiche Hinweise seien gänzlich ausser Acht gelassen worden, so beispielsweise, dass der Beschwerdeführer gesagt habe, dass er seit Monaten keinen Kontakt mehr zu seinen Eltern habe, diese ihm indes mitgeteilt hätten, dass sie Kabul verlassen würden. Es gehöre auch zur Abklärungspflicht festzustellen, ob die Familie tatsächlich in der Lage sei, die Bedürfnisse des Beschwerdeführers bei einer Rückkehr abzudecken. Ferner bezeichne die Vorinstanz gewisse Aussagen als unglaubhaft, andere als glaubhaft und würden ihre Ausführungen zu Kabul überholt erscheinen.</w:t>
      </w:r>
    </w:p>
    <w:p>
      <w:r>
        <w:rPr>
          <w:b/>
        </w:rPr>
        <w:t>E. 6.3.3</w:t>
      </w:r>
    </w:p>
    <w:p>
      <w:r>
        <w:t>Betreffend die allgemeine Lage in Afghanistan ist auf das Urteil BVGE 2011/7 zu verweisen. Nach eingehender Lageanalyse stellte das Bundesverwaltungsgericht fest, dass die Sicherheitslage sowie die humanitären Bedingungen in weiten Teilen Afghanistans schlecht seien, weshalb die Situation praktisch flächendeckend als existenzbedrohend im Sinn von Art. 83 Abs. 4 AuG zu qualifizieren sei. Von dieser allgemeinen Feststellung sei die Lage in der Hauptstadt Kabul zu unterscheiden. Weil die Sicherheitslage dort weniger bedrohlich als in den anderen Landesteilen sei sowie diese sich zumindest in letzter Zeit nicht verschlechtert habe, und die humanitäre Situation im Vergleich zu den übrigen Gebieten etwas weniger dramatisch sei, könne der Vollzug der Wegweisung nach Kabul unter Umständen als zumutbar qualifiziert werden. Angesichts der konstanten Verschlechterung der Lage über die vergangenen Jahre hinweg auch in Kabul (vgl. hierzu ebenfalls die vom Beschwerdeführer eingereichten Berichte und Zeitungsartikel), verstehe es sich von selbst, dass die bereits von der vormaligen Beschwerdeinstanz in Entscheidungen und Mitteilungen der Schweizerischen Asylrekurskommission (EMARK) 2003 Nr. 10 formulierten strengen Bedingungen in jedem Einzelfall sorgfältig geprüft werden und erfüllt sein müssen,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 Betreffend die Wegweisung von Kindern bildet im Rahmen der Zumutbarkeitsprüfung das Kindeswohl zusätzlich einen Gesichtspunkt von gewichtiger Bedeutung. Dies ergibt sich aus einer völkerrechtskonformen Auslegung von Art. 83 Abs. 4 AuG im Lichte von Art. 3 Abs. 1 des Übereinkommens vom 20. November 1989 über die Rechte des Kindes (SR 0.107). Unter dem Aspekt des Kindeswohls sind sämtliche Umstände einzubeziehen und zu würdigen, die im Hinblick auf eine Wegweisung wesentlich erscheinen. Namentlich können folgende Kriterien im Rahmen einer gesamtheitlichen Beurteilung von Bedeutung sein: Alter, Reife, Abhängigkeiten, Art (Nähe, Intensität, Tragfähigkeit) der Beziehungen, Eigenschaften der Bezugspersonen (insbesondere Unterstützungsbereitschaft und -fähigkeit), Stand und Prognose bezüglich Entwicklung/Ausbildung, sowie der Grad der erfolgten Integration bei einem längeren Aufenthalt in der Schweiz (vgl. BVGE 2009/28 E.9.3.2).</w:t>
      </w:r>
    </w:p>
    <w:p>
      <w:r>
        <w:rPr>
          <w:b/>
        </w:rPr>
        <w:t>E. 6.3.4</w:t>
      </w:r>
    </w:p>
    <w:p>
      <w:r>
        <w:t>Die vorinstanzliche Verfügung ist auch im Wegweisungspunkt nicht zu beanstanden. So hat sich die Vorinstanz mit der persönlichen beziehungsweise individuellen Situation des Beschwerdeführers ausreichend auseinandergesetzt. Die Rügen - auch betreffend rechtsfehlerhafter Sachverhaltsfeststellung - sind unbegründet. Die Verweise auf die Rechtsprechung untermauern lediglich die Bedingungen, die erfüllt sein müssen, um der Zumutbarkeit einer Wegweisung einer minderjährigen Person gerecht zu werden. Diese hat die Vorinstanz indes - unter Berücksichtigung der einschlägigen Rechtsprechung - zutreffend geprüft und vorliegend zu Recht in Bezug auf Kabul bejaht (soziales Netz, Alter, Reife, Abhängigkeiten, Art der Beziehungen, Eigenschaften der Bezugspersonen - entgegen den Behauptungen auf Beschwerdeebene ist die Vorinstanz auch auf die Unterstützungsbereitschaft und -fähigkeit eingegangen - Stand und Prognose bezüglich Entwicklung/Ausbildung sowie der Grad der erfolgten Integration bei einem längeren Aufenthalt in der Schweiz, E. 5.3.1 bzw. angefochtene Verfügung, S. 5 f.). Das Gericht geht ebenfalls mit der Vorinstanz davon aus, dass zum heutigen Zeitpunkt in der Hauptstadt Kabul keine Situation allgemeiner Gewalt herrscht (vgl. ebd. E. 5.3.3). An dieser Rechtsprechung ist - auch unter Berücksichtigung der Beschwerdeausführungen und -beilagen zur allgemeinen Lage in Afghanistan und Kabul - nach wie vor festzuhalten (vgl. die jüngere Rechtsprechung hierzu: Urteile des BVGer E-2258/2017 vom 11. Mai 2017 E. 7.3, D-6069/2016 vom 20. Februar 2017 E. 8.4, D-380/2017 vom 2. Februar 2017 E. 6.5 und E-7814/2016 vom 25. Januar 2017 E. 8.3). Indem sich der Beschwerdeführer in der Beschwerde ausschliesslich mit dem Vollzug der Wegweisung auseinandersetzt - mithin die Unglaubhaftigkeit der Fluchtgeschichte bestätigt - kann er aus seiner Rüge, die Vorinstanz werte manche Aussagen als glaubhaft, andere als unglaubhaft, nichts zu seinen Gunsten ableiten. Der plötzliche Kontaktabbruch zur Kernfamilie und die Unkenntnis über ihren Aufenthaltsort ist in der Tat unglaubhaft und scheint weit her geholt, nachdem der Beschwerdeführer im Verlauf des Asylverfahrens regelmässig in Kontakt mit seiner Familie stand und sich zuletzt von ihr aus Kabul Papiere hat zustellen lassen. Um Wiederholungen zu vermeiden, ist auch an dieser Stelle auf die zutreffenden Ausführungen der Vorinstanz zu verweisen, die zu Recht von der Zumutbarkeit des Wegweisungsvollzugs des aus Kabul stammenden, sich erst seit Mitte 2016 in der Schweiz aufhaltenden, fast siebzehnjährigen und gesunden Beschwerdeführers mit Schulbildung, sozialem Beziehungsnetz (Clubmitgliedschaften in Kabul) sowie Eltern und Geschwistern vor Ort ausgegangen ist.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vorinstanzliche Verfügung Bundesrecht nicht verletzt und auch sonst nicht zu beanstanden ist (Art. 106 AsylG). Die Beschwerde ist abzuweisen. Nach dem Gesagten besteht kein Anlass zur Rückweisung der Sache an die Vorinstanz; der entsprechende Eventualantrag ist abzuweisen.</w:t>
      </w:r>
    </w:p>
    <w:p>
      <w:r>
        <w:rPr>
          <w:b/>
        </w:rPr>
        <w:t>E. 8</w:t>
      </w:r>
    </w:p>
    <w:p>
      <w:r>
        <w:t>Gemäss Art. 65 Abs. 1 VwVG wird eine Partei, die nicht über die erforderlichen Mittel verfügt, auf Antrag hin von der Bezahlung der Verfahrenskosten befreit, wenn ihr Begehren im Zeitpunkt der Gesuchseinreichung nicht aussichtslos erscheint. Da die gesetzlichen Voraussetzungen gegeben sind, ist das Gesuch um unentgeltliche Prozessführung im Sinne von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