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E-2877/2016 vom 1. Dezember 2016</w:t>
      </w:r>
    </w:p>
    <w:p>
      <w:r>
        <w:t>Bundesverwaltungsgericht, 2016-12-01, DE</w:t>
      </w:r>
    </w:p>
    <w:p>
      <w:r>
        <w:rPr>
          <w:b/>
        </w:rPr>
        <w:t xml:space="preserve">Quelle: </w:t>
      </w:r>
      <w:r>
        <w:t>https://mcp.opencaselaw.ch/entscheid/bvger_E-2877_2016</w:t>
      </w:r>
    </w:p>
    <w:p>
      <w:r>
        <w:t>FR: TAF E-2877/2016 du 1 décembre 2016</w:t>
      </w:r>
    </w:p>
    <w:p>
      <w:r>
        <w:t>IT: TAF E-2877/2016 del 1 dicembre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Zur Begründung der angefochtenen Verfügung führte das SEM im Wesentlichen aus, die Asylvorbringen des Beschwerdeführers würden den Anforderungen an die Glaubhaftmachung nach Art. 7 AsylG nicht genügen. Die Vorbringen des Beschwerdeführers würden in den wesentlichsten Punkten der allgemeinen Lebenserfahrung beziehungsweise der Logik des Handelns widersprechen. So sei bereits seine Darstellung des angeblichen Ausgangsereignisses - die Erschiessung seines Freundes im Jahre 2006 - mit starken Zweifeln behaftet. Die beschriebene Vorgehensweise der Angreifer sei nicht nachvollziehbar. Es widerspreche jeglicher Logik, dass die Angreifer seinen Freund nicht in einem unbeobachteten Moment und ohne jegliche Zeugen getötet hätten. Weiter erstaune der Umstand, dass der Beschwerdeführer weder durch die Familie des getöteten Freundes, welche in unmittelbarer Nachbarschaft gewohnt habe, noch durch Freunde etwas über das Verbrechen an sich oder die Ermittlungen erfahren haben wolle. Ebenso wenig sei nachvollziehbar, dass sich die Angreifer erst sieben Jahre später über ihn erkundigt hätten, zumal anscheinend auch keine Ermittlungen wegen der Tötung eingeleitet worden seien und die Angreifer sowohl über ihren Wohn- als auch Arbeitsort informiert gewesen seien. Weiter seien die Aussagen in verschiedenen Punkten widersprüchlich. Ferner erwog die Vorinstanz, dass dem Beschwerdeführer im Falle einer Rückkehr nach Sri Lanka keine begründete Furcht vor Verfolgungsmassnahmen im Sinne von Art. 3 AsylG drohen würden. Die Zugehörigkeit zur tamilischen Ethnie und die Landesabwesenheit würden gemäss herrschender Praxis nicht ausreichen, um von Verfolgungsmassnahmen bei einer Rückkehr auszugehen. Zwar könnten seine Herkunft aus dem Norden Sri Lankas, sein Alter und die Rückkehr mit temporären Reisedokumenten die Aufmerksamkeit der sri-lankischen Behörden im Rahmen der Wiedereinreise und Wiedereingliederung erhöhen, allerdings würden diese Faktoren keinen begründeten Anlass zur Annahme konstituieren, dass sich Verfolgungsmassnahmen mit beachtlicher Wahrscheinlichkeit und in absehbarer Zukunft verwirklichen würden. Er habe selbst keine Nähe zur LTTE glaubhaft nachweisen können und auch sein familiärer Hintergrund böte keinen Anlass zur Annahme, dass er bei einer Rückkehr erhöhte Aufmerksamkeit der sri-lankischen Behörden erfahren könnte. Auch die einmalige Teilnahme an einer Märtyrer-Feierlichkeit im November 2014 böte keinen Anlass zu einer solchen Annahme. Zusammenfassend gäben die geprüften Faktoren keinen hinreichend begründeten Anlass zur Annahme, dass er bei einer Rückkehr nach Sri Lanka Massnahmen zu befürchten hätte, welche über einen sogenannten background check (Befragung, Überprüfung von Auslandsaufenthalten und Tätigkeiten in Sri Lanka und im Ausland) hinaus gegen würden. Er verfüge über kein Profil, dass die Annahme rechtfertigen würde, er hätte ei einer Rückkehr nach Sri Lanka begründete Furcht vor Verfolgungsmassnahmen.</w:t>
      </w:r>
    </w:p>
    <w:p>
      <w:r>
        <w:rPr>
          <w:b/>
        </w:rPr>
        <w:t>E. 6.1</w:t>
      </w:r>
    </w:p>
    <w:p>
      <w:r>
        <w:t>Vorab ist auf die in der Beschwerde vorgebrachte formelle Rüge einzugehen, wonach das SEM in verschiedener Hinsicht den Anspruch des Beschwerdeführers auf das rechtliche Gehör verletzt habe.</w:t>
      </w:r>
    </w:p>
    <w:p>
      <w:r>
        <w:rPr>
          <w:b/>
        </w:rPr>
        <w:t>E. 6.2</w:t>
      </w:r>
    </w:p>
    <w:p>
      <w:r>
        <w:t>Der Beschwerdeführer monierte in verfahrensrechtlicher Hinsicht einerseits die unvollständige und unrichtige Sachverhaltsabklärung, indem der Vorinstanz das zur Feststellung und Beurteilung des Sachverhaltes nötige länderspezifische Wissen gefehlt habe und aufgrund dessen und aufgrund der Aktenlage weiterer Abklärungsbedarf bestehe, sowie anderseits eine Verletzung der Begründungspflicht.</w:t>
      </w:r>
    </w:p>
    <w:p>
      <w:r>
        <w:rPr>
          <w:b/>
        </w:rPr>
        <w:t>E. 6.3</w:t>
      </w:r>
    </w:p>
    <w:p>
      <w:r>
        <w:t>Entgegen seinen diesbezüglichen Vorbringen erscheint der entscheidrelevante Sachverhalt indes bereits aufgrund der vorliegenden Aktenlage als hinreichend erstellt, weshalb die Beweismittelanträge des Beschwerdeführers im Sinne einer antizipierten Beweiswürdigung abzuweisen sind (vgl. dazu Art. 33 Abs. 1 VwVG). In diesem Zusammenhang bleibt festzuhalten, dass die vom Beschwerdeführer angerufene Bestimmung von Art. 7 AsylG keine Handhabe bietet, um eine aufgrund der Aktenlage aller Voraussicht nach nicht zielführende und daher in der Sache nicht notwendige Beweiserhebung zu erzwingen (vgl. wiederum Art. 33 Abs. 1 VwVG).</w:t>
      </w:r>
    </w:p>
    <w:p>
      <w:r>
        <w:rPr>
          <w:b/>
        </w:rPr>
        <w:t>E. 6.4</w:t>
      </w:r>
    </w:p>
    <w:p>
      <w:r>
        <w:t>In Zusammenhang mit der Rüge einer angeblich ungenügenden Sachverhaltsfeststellung und der Rüge einer angeblichen Verletzung der Begründungspflicht ist schliesslich festzuhalten, dass der Beschwerdeführer in seinen diesbezüglichen Vorbringen ganz überwiegend die Frage der Feststellung des rechtserheblichen Sachverhalts mit der Frage der rechtlichen Würdigung der Sache vermengt. Gleichzeitig verkennt er, dass das SEM seiner Begründungspflicht Genüge tut, wenn es im Rahmen der Begründung die wesentlichen Überlegungen nennt, welche es seinem Entscheid zugrunde legt. Dieser Anforderung ist das SEM im Rahmen seiner Erwägungen zur Sache vollumfänglich gerecht geworden. Alleine der Umstand, dass das Staatssekretariat zum einen in seiner Länderpraxis zu Sri Lanka einer anderen Linie folgt, als vom Beschwerdeführer vertreten, und es zum anderen aus sachlichen Gründen auch zu einer anderen Würdigung der Asylvorbringen gelangt, als vom Beschwerdeführer verlangt, spricht weder für eine ungenügende Sachverhaltsfeststellung noch stellt dies eine Verletzung der Begründungspflicht dar. Gleichzeitig sind seine Ausführungen im Rahmen der Beschwerde betreffend ein angebliches fachliches Unvermögen dieser Personen als schlicht haltlos zu bezeichnen. Wie im Folgenden zu zeigen sein wird, sind auch die Beweiswürdigung und die Rechtsanwendung der Vorinstanz nicht zu beanstanden.</w:t>
      </w:r>
    </w:p>
    <w:p>
      <w:r>
        <w:rPr>
          <w:b/>
        </w:rPr>
        <w:t>E. 6.5</w:t>
      </w:r>
    </w:p>
    <w:p>
      <w:r>
        <w:t>Die von dem Beschwerdeführer erhobene formelle Rüge erweist sich nach dem Gesagten als unbegründet. Damit besteht keine Veranlassung, die angefochtene Verfügung zu kassieren, weshalb das entsprechende Begehren abzuweisen ist.</w:t>
      </w:r>
    </w:p>
    <w:p>
      <w:r>
        <w:rPr>
          <w:b/>
        </w:rPr>
        <w:t>E. 7.1</w:t>
      </w:r>
    </w:p>
    <w:p>
      <w:r>
        <w:t>Das Bundesverwaltungsgericht gelangt in materieller Hinsicht zum Schluss, dass die vorinstanzliche Beweiswürdigung in Bezug auf die Anforderungen an die Glaubhaftmachung nach Art. 7 AsylG sowie an die Asylbegründung nach Art. 3 AsylG nicht zu beanstanden ist.</w:t>
      </w:r>
    </w:p>
    <w:p>
      <w:r>
        <w:rPr>
          <w:b/>
        </w:rPr>
        <w:t>E. 7.2</w:t>
      </w:r>
    </w:p>
    <w:p>
      <w:r>
        <w:t>In der angefochtenen Verfügung wird einlässlich begründet, weshalb die geltend gemachten Asylvorbringen den Anforderungen an die Glaubhaftmachung sowie an die Flüchtlingseigenschaft nicht genügen. Es kann vollumfänglich auf die Erwägungen in der angefochtenen Verfügung verwiesen werden. An dieser Beweiswürdigung vermag auch die Beschwerdebegründung nichts zu ändern. Überdies vermag auch der auf Beschwerdeebene eingereichte Todesschein zu keiner anderen Schlussfolgerung führen. Die einzig bewiesene Tatsache, nämlich dass der Freund des Beschwerdeführers, wie von ihm geschildert, am 14. September 2016 in B._______ durch einen Kopfschuss getötet worden ist, lässt die übrigen Aussagen nicht glaubhafter werden. Insbesondere ist weder seine Anwesenheit bei der Tötung noch ein Kausalzusammenhang zwischen der Tötung und den angeblichen Besuchen bei seiner Mutter durch die angeblichen Mörder glaubhaft dargelegt. Doch insbesondere diese zwei Elemente wären für eine allfällige Glaubhaftmachung einer begründeten Furcht vor Verfolgungsmassnahmen entscheidend. Ferner vermag auch die Vermutung des Beschwerdeführers, dass es sich bei den ihm nachfragenden Personen um Zivilbeamte handelt, nicht zu überzeugen. Einerseits hat er für diese Vermutung keine stichhaltige Begründung angebracht und anderseits hat er diese Vermutung erst bei der zweiten Anhörung durch das SEM geäussert, so dass von einem nachgeschobenen und somit unglaubhaften Vorbringen ausgegangen werden muss. Somit überzeugt auch der auf Beschwerdeebene vorgebrachte Einwand, dass Zeugen von extralegalen Tötungen besonders gefährdet seien, nicht. Es sind aus den Akten keine Hinweise zu entnehmen, dass es sich bei der Tötung seines Freundes um eine extralegale Tötung durch die sri-lankischen Behörden handelte.</w:t>
      </w:r>
    </w:p>
    <w:p>
      <w:r>
        <w:rPr>
          <w:b/>
        </w:rPr>
        <w:t>E. 7.3</w:t>
      </w:r>
    </w:p>
    <w:p>
      <w:r>
        <w:t>Zusammenfassend kann geschlossen werden, dass die Schilderungen des Beschwerdeführers zu den geltend gemachten Fluchtgründen nicht den Anforderungen an die Glaubhaftmachung nach Art. 7 AsylG genügen. Bei einer Gesamtwürdigung aller Sachverhaltselemente, die für und wider die Glaubhaftigkeit der Asylvorbringen des Beschwerdeführers sprechen, überwiegen jene Elemente, welche dagegen sprechen, dass er die geschilderten Ereignisse tatsächlich wie geschildert erlebt hat, beziehungsweise diese überwiegend auszuschliessen sind. Somit besteht auch zu Recht kein Grund zur Annahme, dem Beschwerdeführer würden bei einer Rückkehr nach Sri Lanka asylrelevante Verfolgungsmassnahmen drohen.</w:t>
      </w:r>
    </w:p>
    <w:p>
      <w:r>
        <w:rPr>
          <w:b/>
        </w:rPr>
        <w:t>E. 7.4</w:t>
      </w:r>
    </w:p>
    <w:p>
      <w:r>
        <w:t>Das SEM lehnte das Asylgesuch des Beschwerdeführers somit zu Recht ab.</w:t>
      </w:r>
    </w:p>
    <w:p>
      <w:r>
        <w:rPr>
          <w:b/>
        </w:rPr>
        <w:t>E. 8</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Vorinstanz hat die Anordnung der Wegweisung demnach zu Recht verfügt.</w:t>
      </w:r>
    </w:p>
    <w:p>
      <w:r>
        <w:rPr>
          <w:b/>
        </w:rPr>
        <w:t>E. 9.1</w:t>
      </w:r>
    </w:p>
    <w:p>
      <w:r>
        <w:t>Der Vollzug der Wegweisung ist nach Art. 83 Abs. 3 AuG (SR 142.20)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Der Europäische Gerichtshof für Menschenrechte (EGMR) hat sich mit der Gefährdungssituation im Hinblick auf eine EMRK-widrige Behandlung namentlich für Tamilen, die aus einem europäischen Land nach Sri Lanka zurückkehren müssen, wiederholt befasst. Dabei unterstreicht der Gerichtshof, dass nicht in genereller Weise davon auszugehen sei, zurückkehrenden Tamilen drohe eine unmenschliche Behandlung. Vielmehr müssten im Rahmen der Beurteilung, ob der oder die Betroffene ernsthafte Gründe für eine Befürchtung habe, die Behörden hätten an seiner Festnahme und Befragung ein Interesse, verschiede Aspekte, welche durch die nachfolgend zu erläuternden Risikofaktoren abgedeckt sind, in Betracht gezogen werden, wobei dem Umstand gebührend Beachtung zu schenken sei, dass diese einzelnen Aspekte, auch wenn sie für sich alleine betrachtet möglicherweise kein "real risk" darstellen, diese Schwelle bei einer kumulativen Würdigung erreichen könnten (vgl. Referenzurteil des BVGer E-1866/2015 vom 15. Juli 2016 E. 12.2 mit weiteren Hinweisen).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eine menschenrechtswidrige Behandlung in Sri Lanka drohen.</w:t>
      </w:r>
    </w:p>
    <w:p>
      <w:r>
        <w:rPr>
          <w:b/>
        </w:rPr>
        <w:t>E. 9.2</w:t>
      </w:r>
    </w:p>
    <w:p>
      <w:r>
        <w:t>Der Vollzug der Wegweisung kann nach Art. 83 Abs. 4 AuG unzumutbar sein, wenn der Ausländer oder die Ausländerin im Heimat- oder Herkunftsstaat auf Grund von Situationen wie Krieg, Bürgerkrieg, allgemeiner Gewalt und medizinischer Notlage konkret gefährdet ist. Mit Referenzurteil E-1866/2015 vom 15. Juli 2016 hat das Bundesverwaltungsgericht seine bisherige Rechtsprechung (vgl. BVGE 2011/24) und die gegenwärtige Praxis des SEM bestätigt, wonach der Wegweisungsvollzug sowohl in die Nordprovinz (Distrikte Jaffna [ausgenommen das Vanni-Gebiet], Kilinochchi, Mullaitivu, Mannar und Vavuniya) als auch in die Ostprovinz (Distrikte Trincomalee, Batticaloa und Ampara) zumutbar ist, wenn das Vorliegen der individuellen Zumutbarkeitskriterien (insbesondere Existenz eines tragfähigen familiären oder sozialen Beziehungsnetzes sowie Aussichten auf eine gesicherte Einkommens- und Wohnsituation) bejaht werden kann. Der Beschwerdeführer stammt aus D._______ (Jaffna-Distrikt) und lebte bis zu seiner Ausreise auch mehrheitlich dort. Seine Ehefrau und seine Kinder sind in Sri Lanka verblieben. Auch seine Eltern leben noch dort. Der Beschwerdeführer verfügt demnach in Sri Lanka über ein familiäres sowie soziales Umfeld und ist gesund, so dass davon ausgegangen werden darf, dass er sich bei einer Rückkehr in seiner Heimat schnell wieder integrieren kann und in der Lage sein wird, sich eine wirtschaftliche Existenzgrundlage aufzubauen. Der Vollzug der Wegweisung ist zumutbar.</w:t>
      </w:r>
    </w:p>
    <w:p>
      <w:r>
        <w:rPr>
          <w:b/>
        </w:rPr>
        <w:t>E. 9.3</w:t>
      </w:r>
    </w:p>
    <w:p>
      <w:r>
        <w:t>Schliesslich ist der Wegweisungsvollzug auch als möglich (Art. 83 Abs. 2 AuG) zu bezeichnen. Es obliegt dem Beschwerdeführer, sich bei der zuständigen Vertretung seines Heimatlandes die für eine Rückkehr notwendigen Reisedokumente zu beschaffen (Art. 8 Abs. 4 AsylG, BVGE 2008/34 E. 12).</w:t>
      </w:r>
    </w:p>
    <w:p>
      <w:r>
        <w:rPr>
          <w:b/>
        </w:rPr>
        <w:t>E. 9.4</w:t>
      </w:r>
    </w:p>
    <w:p>
      <w:r>
        <w:t>Zusammenfassend hat die Vorinstanz den Wegweisungsvollzug zu Recht als zulässig, zumutbar und möglich erachtet. Die Anordnung einer vorläufigen Aufnahme fällt ausser Betracht (Art. 83 Abs. 1-4 AuG).</w:t>
      </w:r>
    </w:p>
    <w:p>
      <w:r>
        <w:rPr>
          <w:b/>
        </w:rPr>
        <w:t>E. 10</w:t>
      </w:r>
    </w:p>
    <w:p>
      <w:r>
        <w:t>Nach dem Gesagten ergibt sich, dass die angefochtene Verfügung Bundesrecht nicht verletzt und auch sonst nicht zu beanstanden ist (Art. 106 Abs. 1 AsylG). Die Beschwerde ist abzuweisen.</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