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E-2877/2014 vom 24. Juni 2014</w:t>
      </w:r>
    </w:p>
    <w:p>
      <w:r>
        <w:t>Bundesverwaltungsgericht, 2014-06-24, DE</w:t>
      </w:r>
    </w:p>
    <w:p>
      <w:r>
        <w:rPr>
          <w:b/>
        </w:rPr>
        <w:t xml:space="preserve">Quelle: </w:t>
      </w:r>
      <w:r>
        <w:t>https://mcp.opencaselaw.ch/entscheid/bvger_E-2877_2014</w:t>
      </w:r>
    </w:p>
    <w:p>
      <w:r>
        <w:t>FR: TAF E-2877/2014 du 24 juin 2014</w:t>
      </w:r>
    </w:p>
    <w:p>
      <w:r>
        <w:t>IT: TAF E-2877/2014 del 24 giugno 2014</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Das Bundesverwaltungsgericht ist zur Beurteilung der vorliegenden Rechtsverzögerungsbeschwerde somit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der Beschwerdeführer um Asyl in Form einer anfechtbaren Verfügung nachsuchte, ist er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(Urteil des Bundesgerichts 2P.16/2002; BVGE 2008/15; Markus Müller, a.a.O., Rz. 10 zu Art. 46a; René Rhinow/Heinrich Koller/Christina Kiss/Daniela Thurnherr/Denise Brühl-Moser, Öffentliches Prozessrecht, 2. Aufl., Basel 2010, Rz. 1606).</w:t>
      </w:r>
    </w:p>
    <w:p>
      <w:r>
        <w:rPr>
          <w:b/>
        </w:rPr>
        <w:t>E. 1.4</w:t>
      </w:r>
    </w:p>
    <w:p>
      <w:r>
        <w:t>Nach seinen diversen Anfragen kündigte der Beschwerdeführer mit Schreiben vom 10. März 2014 rechtliche Schritte an, falls das BFM bis zum 30. April 2014 keine sichtbaren Verfahrensschritte unternehmen würde. Das BFM konnte dem Beschwerdeführer mit Antwortschreiben vom 13. März 2014 kein Erledigungsdatum in Aussicht stellen. Unter diesen Umständen durfte der Beschwerdeführer Ende Mai 2014 nach Treu und Glauben annehmen, dass das BFM vorderhand keine anfechtbare Verfügung erlässt. Da die vorliegende Beschwerde am 26. Mai 2014 eingereicht wurde, ist sie fristgerecht erhoben. Die erheischte Verfügung ist bis zum heutigen Tag nicht ergangen. Auf die frist- und formgerecht eingereichte Beschwerde ist einzutreten.</w:t>
      </w:r>
    </w:p>
    <w:p>
      <w:r>
        <w:rPr>
          <w:b/>
        </w:rPr>
        <w:t>E. 2</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3</w:t>
      </w:r>
    </w:p>
    <w:p>
      <w:r>
        <w:t>In der Beschwerdeschrift wird ausgeführt, die Vorinstanz habe seit der Anhörung am 15. Dezember 2011 keine weiteren Verfahrensschritte vorgenommen. Die Begründung der Vorinstanz, dass sie im Moment zu viele Gesuche behandeln müsse, stelle keine objektive Rechtfertigung für die Verzögerung dar.</w:t>
      </w:r>
    </w:p>
    <w:p>
      <w:r>
        <w:rPr>
          <w:b/>
        </w:rPr>
        <w:t>E. 4.1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4.2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objektiven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5.2; Markus Müller, a.a.O. Rz. 6 zu Art. 46a). Ein Verschulden der Behörde an der Verzögerung wird nicht vorausgesetzt, weshalb eine Behörde das Rechtsverzögerungsverbot auch verletzt, wenn sie wegen Personalmangels oder Überlastung nicht innert angemessener Frist verfügt (Felix Uhlmann / Simone Wälle-Bär, in: Praxiskommentar VwVG, Waldmann/Weissenberger (Hrsg.), Zürich 2009, Art. 46a N 20).</w:t>
      </w:r>
    </w:p>
    <w:p>
      <w:r>
        <w:rPr>
          <w:b/>
        </w:rPr>
        <w:t>E. 4.3</w:t>
      </w:r>
    </w:p>
    <w:p>
      <w:r>
        <w:t>Das vorliegende Asylgesuch datiert vom 2. August 2010. Die Anhörung durch die Vorinstanz fand am 15. Dezember 2011 statt. Seither sind zweieinhalb Jahre verstrichen und es liegt noch kein Entscheid der Vorinstanz vor. In der Vernehmlassungsantwort macht sie geltend, dass Asylgesuche srilankischer Staatsangehöriger aufgrund des Entscheid- und Vollzugsmoratoriums vom 3. September 2013 nur eingeschränkt behandelt worden seien. Die Entscheidtätigkeit sei nach einer neuen Risikoanalyse vom 26. Mai 2014 aber wieder aufgenommen worden. Die Vorinstanz nennt allerdings kein Datum, bis wann sie in casu entscheiden will. Weiter ist der Vorinstanz entgegenzuhalten, dass der Beschwerdeführer letztlich keine Verantwortung für deren Probleme im Zusammenhang mit Risikoeinschätzungen für Sri Lanka und entsprechenden Vollzugsproblemen trägt. Man kann ihn somit auch nicht für das Vollzugsmoratorium verantwortlich machen. Das Gericht verkennt weder die hohe Arbeitslast der Vorinstanz, noch länderspezifische Unwägbarkeiten, die genauere Nachforschungen im Einzelfall erfordern. Ein genereller Entscheidstopp für sämtliche Gesuche aus demselben Staat lässt sich damit aber nicht rechtfertigen. Das vorliegend gezeigte Verhalten ist nicht hinnehmbar. Deshalb kommt das Gericht zum Schluss, dass die zur Begründung dargelegte Geschäftslast sowie das Entscheid- und Vollzugsmoratorium in Anbetracht der zweieinhalbjährigen Hängigkeit des Verfahrens nicht geeignet ist, die Verletzung des Beschleunigungsgebotes von Art. 29 Abs. 1 BV zu rechtfertigen.</w:t>
      </w:r>
    </w:p>
    <w:p>
      <w:r>
        <w:rPr>
          <w:b/>
        </w:rPr>
        <w:t>E. 5</w:t>
      </w:r>
    </w:p>
    <w:p>
      <w:r>
        <w:t>Die Rüge der Rechtsverzögerung erweist sich demnach als begründet. Die Beschwerde ist gutzuheissen. Die Akten gehen an die Vorinstanz zurück, verbunden mit der Anweisung, das Gesuch des Beschwerdeführers vom 2. August 2010 beförderlich zu behandeln und zügig einer anfechtbaren Verfügung zuzuführen.</w:t>
      </w:r>
    </w:p>
    <w:p>
      <w:r>
        <w:rPr>
          <w:b/>
        </w:rPr>
        <w:t>E. 6.1</w:t>
      </w:r>
    </w:p>
    <w:p>
      <w:r>
        <w:t>Bei diesem Ausgang des Verfahrens sind dem Beschwerdeführer keine Kosten aufzuerlegen (Art. 63 Abs. 1 und 2 VwVG).</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Eine Kostennote wurde nicht eingereicht. Auf das Nachfordern einer solchen kann jedoch verzichtet werden, da sich der Aufwand für das Beschwerdeverfahren zuverlässig abschätzen lässt (Art. 14 Abs. 2 VGKE). Unter Berücksichtigung der massgebenden Bemessungsfaktoren (Art. 9-13 VGKE) und der Entschädigungspraxis in Vergleichsfällen hat die Vorinstanz dem Beschwerdeführer eine Parteientschädigung in der Höhe von pauschal Fr. 500.- (inkl. Auslagen und allfällige Mehrwertsteuer) auszurichten. Die prozessualen Anträge auf Verzicht der Erhebung von Verfahrenskosten sowie eines Kostenvorschusses sind somit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