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E-2863/2022 vom 17. November 2023</w:t>
      </w:r>
    </w:p>
    <w:p>
      <w:r>
        <w:t>Bundesverwaltungsgericht, 2023-11-17, DE</w:t>
      </w:r>
    </w:p>
    <w:p>
      <w:r>
        <w:rPr>
          <w:b/>
        </w:rPr>
        <w:t xml:space="preserve">Quelle: </w:t>
      </w:r>
      <w:r>
        <w:t>https://mcp.opencaselaw.ch/entscheid/bvger_E-2863_2022</w:t>
      </w:r>
    </w:p>
    <w:p>
      <w:r>
        <w:t>FR: TAF E-2863/2022 du 17 novembre 2023</w:t>
      </w:r>
    </w:p>
    <w:p>
      <w:r>
        <w:t>IT: TAF E-2863/2022 del 17 novembre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 wer- 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w:t>
      </w:r>
    </w:p>
    <w:p>
      <w:r>
        <w:rPr>
          <w:b/>
        </w:rPr>
        <w:t>E. 1.3.2</w:t>
      </w:r>
    </w:p>
    <w:p>
      <w:r>
        <w:t>Vorliegend ist weder die Partei- noch die Prozessfähigkeit des Be- schwerdeführers bestritten. Der rubrizierte Rechtsvertreter hat sich aber weder im erstinstanzlichen noch im vorliegenden Verfahren durch eine Voll- macht ausgewiesen. Aus dem Protokoll zur Kurzbefragung geht jedoch hervor, dass der Rechtsschutz für Asylsuchende im BAZ Bern auch an der Befragung teilgenommen und das Protokoll als «Leistungserbringer Rechtsschutz» unterzeichnet hat (vgl. vorinstanzliche Akten […]-3/7). Aus dem Gesetzestext geht hervor, dass die Unterzeichnung einer Vollmacht für das Vertretungsverhältnis im erstinstanzlichen Verfahren nicht konstitu- tiv ist (vgl. Art 102h Abs. 1 AsylG i.V.m. Art. 72 AsylG). Demnach ist davon</w:t>
      </w:r>
    </w:p>
    <w:p>
      <w:r>
        <w:t>E-2863/2022 Seite 4 auszugehen, dass der Rechtsvertreter im vorliegenden Verfahren zur Ver- tretung des Beschwerdeführers befugt ist. Aufgrund der Teilnahme des Rechtsschutzes an der Befragung und der Unterzeichnung des Protokolls würde dies auch dann zutreffen, wenn es sich um eine gewillkürte Rechts- vertretung im Sinne von Art. 11 Abs. 1 VwVG handeln sollte (vgl. auch Ur- teil des BVGer D-2430/2022 vom 5. September 2023 E. 1.3). Unter diesen Umständen kann auf die Nachforderung einer schriftlichen Vollmacht verzichtet werden.</w:t>
      </w:r>
    </w:p>
    <w:p>
      <w:r>
        <w:rPr>
          <w:b/>
        </w:rPr>
        <w:t>E. 1.3.3</w:t>
      </w:r>
    </w:p>
    <w:p>
      <w:r>
        <w:t>Von der Vertretungsbefugnis im Sinne einer Eintretensvoraussetzung abzugrenzen ist die Frage, ob es sich dabei um eine zugewiesene Rechts- 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respektive Art. 64 VwVG und Art. 7 Abs. 1 des Reglements vom 21. Februar 2008 über die Kosten und Entschädigun- gen vor dem Bundesverwaltungsgericht (VGKE, SR 173.320.2) zu erstat- ten wäre. Diese Entscheidung wirkt sich insbesondere auf eine allfällige Entschädigung der Rechtsvertretung aus, weshalb auf die entsprechende Erwägung zu verweisen ist (vgl. nachfolgend E. 10).</w:t>
      </w:r>
    </w:p>
    <w:p>
      <w:r>
        <w:rPr>
          <w:b/>
        </w:rPr>
        <w:t>E. 1.3.4</w:t>
      </w:r>
    </w:p>
    <w:p>
      <w:r>
        <w:t>Da die Beschwerde auch frist- und formgerecht eingereicht worden ist, der Beschwerdeführer am Verfahren vor der Vorinstanz teilgenommen hat, durch die angefochtene Verfügung besonders berührt ist und ein schutzwürdiges Interesse an deren Aufhebung beziehungsweise Ände- rung hat, ist er zur Einreichung der Beschwerde legitimiert (Art. 72 i.V.m. Art. 108 Abs. 6 AsylG, Art. 48 Abs. 1 und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w:t>
      </w:r>
    </w:p>
    <w:p>
      <w:r>
        <w:t>E-2863/2022 Seite 5 nachfolgend aufgezeigt, handelt es sich vorliegend um eine solche, wes- halb das Urteil nur summarisch zu begründen ist (Art. 72 i.V.m. Art. 111a Abs.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In der Beschwerde werden verschiedene formelle Rügen erhoben. Diese sind vorab zu beurteilen, da sie allenfalls geeignet sind, eine Kassation der angefochtenen Verfügung zu bewirken. Der Beschwerdeführer rügt eine Verletzung der Begründungspflicht, der Pflicht zur vollständigen und richtigen Abklärung des rechtserheblichen Sachverhalts und eine Verletzung des rechtlichen Gehörs. Es sei im vor- instanzlichen Verfahren gänzlich ungeklärt geblieben, ob es sich bei ihm nicht dennoch um einen Begünstigten vorübergehenden Schutzes im Sinne von Bst. a der Allgemeinverfügung des Bundesrats handeln könne. Als «Partner» einer ukrainischen Staatsangehörigen wäre er vom Wortlaut der Allgemeinverfügung durchaus erfasst. Sie lebten bereits seit zehn Jah-</w:t>
      </w:r>
    </w:p>
    <w:p>
      <w:r>
        <w:t>E-2863/2022 Seite 6 ren zusammen, was durchaus für das Vorliegen einer von ihm selbst er- wähnten eheähnlichen Partnerschaft sprechen dürfe. Die Vorinstanz habe diesen Umstand nicht rechtsgenüglich abgeklärt. Es sei nicht klar, weshalb auf eine Kurzbefragung seiner Partnerin verzichtet worden sei und ihnen auch später im Verfahren kein rechtliches Gehör zur Ermittlung der gemäss Rechtsprechung massgeblichen Perimeter ihrer Partnerschaft mit der Möglichkeit der Einreichung von Beweismitteln zugestellt worden sei. Auch sonst werde die Verfügung in weiten Teilen der Begründungspflicht einer Bundesbehörde nicht gerecht. So habe die Vorinstanz Georgien kur- zerhand in die Europäische Union (EU) beziehungsweise Europäische Freihandelsassoziation (EFTA) verortet und sich fälschlicherweise der ent- sprechenden Textbausteine bedient. Weiter sei der Entscheid fälschlicherweise direkt dem Beschwerdeführer – und nicht der Rechtsvertretung – eröffnet worden. Schliesslich sei auch die vom SEM angesetzte Rechtsmittelfrist von fünf Arbeitstagen rechtswidrig. Das Bundesverwaltungsgericht habe bereits in mehreren Urteilen festge- halten, dass gegen Verfügungen betreffend die Gewährung des vorüber- gehenden Schutzes gemäss Art. 108 Abs. 6 AsylG innert 30 Tagen Be- schwerde erhoben werden könne. Die rechtswidrige Verkürzung der Rechtsmittelfrist treffe den Beschwerdeführer schwer, da er gezwungen sei, über betagte Bekannte das entsprechende Beweismaterial in ihrer ge- meinsamen Wohnung in der Ukraine zu besorgen und in die Schweiz schi- cken zu lassen.</w:t>
      </w:r>
    </w:p>
    <w:p>
      <w:r>
        <w:rPr>
          <w:b/>
        </w:rPr>
        <w:t>E. 6.1</w:t>
      </w:r>
    </w:p>
    <w:p>
      <w:r>
        <w:t>Die formellen Rügen erweisen sich nach Prüfung der Akten als zutref- fend.</w:t>
      </w:r>
    </w:p>
    <w:p>
      <w:r>
        <w:rPr>
          <w:b/>
        </w:rPr>
        <w:t>E. 6.2</w:t>
      </w:r>
    </w:p>
    <w:p>
      <w:r>
        <w:t>So hat sich die Vorinstanz in der angefochtenen Verfügung zum einen nicht zu der zentralen Frage geäussert, weshalb der Beschwerdeführer als behauptungsweise langjähriger Lebenspartner einer ukrainischen Staats- angehörigen nicht unter die Personenkategorie von Ziff. I Bst. a der Allge- meinverfügung des Bundesrates vom 11. März 2022 fallen soll. Stattdes- sen wurde die Verweigerung des vorübergehenden Schutzes überaus kurz – und ohne Verweis auf rechtliche Bestimmungen – damit begründet, dass der Beschwerdeführer in sein Heimatland Georgien zurückkehren könne (vgl. Ziff. III.3 der SEM-Verfügung). Das SEM führte zwar – allerdings im Vollzugspunkt – aus, weshalb es zum jetzigen Zeitpunkt nicht vom Beste-</w:t>
      </w:r>
    </w:p>
    <w:p>
      <w:r>
        <w:t>E-2863/2022 Seite 7 hen einer faktischen Ehe zwischen dem Beschwerdeführer und seiner an- geblichen ukrainischen Partnerin ausgehe. Eine weitergehende Prüfung der – Angaben des Beschwerdeführers zufolge zumindest eheähnlichen – Partnerschaft unter dem Gesichtspunkt des in der bundesrätlichen Allge- meinverfügung bezeichneten schutzberechtigten Personenkreises («Part- nerinnen und Partner» gem. Ziff. I Bst. a; vgl. auch nachfolgend zitierte Urteile des BVGer) nahm das SEM jedoch nicht vor. Es liegt daher der Schluss nahe, dass das SEM fälschlicherweise – entgegen der Rechtspre- chung (vgl. statt vieler Urteile des BVGer D-345/2023 vom 16. Februar 2023 E. 6.1, D-3136/2022 vom 22. August 2022 E. 6.2 und E-4184/2023 vom 21. September 2023) sowie seiner eigenen Feststellung im Handbuch Asyl und Rückkehr, wonach analog Art. 71 AsylG wohl auch Konkubinats- partner unter den schutzberechtigten Personenkreis fielen (vgl. a.a.O. Art. C10 S. 18 Fn. 79) – die Allgemeinverfügung des Bundesrates dahin- gehend auslegt, dass lediglich verheiratete Paare in diese Personenkate- gorie fallen. Im Übrigen erscheint es auch mit dem Grundsatz des rechtli- chen Gehörs nicht vereinbar, das Vorliegen der geltend gemachten Ehe respektive einer eheähnlichen Gemeinschaft einzig auf Grundlage der Aus- sagen des Beschwerdeführers anlässlich der Kurzbefragung zu verneinen, ohne auch der angeblichen Partnerin Gelegenheit zur Stellungnahme zu geben.</w:t>
      </w:r>
    </w:p>
    <w:p>
      <w:r>
        <w:rPr>
          <w:b/>
        </w:rPr>
        <w:t>E. 6.3</w:t>
      </w:r>
    </w:p>
    <w:p>
      <w:r>
        <w:t>Zum anderen ist festzustellen, dass die vorinstanzliche Begründung unter Ziffer IV.1 der angefochtenen Verfügung, wonach es sich bei Geor- gien um einen Staat der EU beziehungsweise der EFTA handle und auf dieser Grundlage gar ein allfälliger Anspruch des Beschwerdeführers auf eine Aufenthaltsregelung nach den Bestimmungen des Abkommens vom 21. Juni 1999 zwischen der Schweiz und der Europäischen Gemeinschaft über die Freizügigkeit (Freizügigkeitsabkommen [FZA], SR 0.142.112.681) thematisiert wurde, falsch ist. Georgien ist weder Mitgliedsstaat der EU noch der EFTA, womit das FZA vorliegend nicht anwendbar ist.</w:t>
      </w:r>
    </w:p>
    <w:p>
      <w:r>
        <w:rPr>
          <w:b/>
        </w:rPr>
        <w:t>E. 6.4</w:t>
      </w:r>
    </w:p>
    <w:p>
      <w:r>
        <w:t>In Bezug auf die Rüge der fehlerhaften Rechtsmittelbelehrung und mangelhaften Eröffnung der Verfügung gilt Folgendes: Das SEM begründete die fünftägige Beschwerdefrist unter Hinweis auf Art. 108 Abs. 3 AsylG mit dem Vorliegen einer Konstellation nach Art. 40 in Verbindung mit Art. 6a Abs. 2 Bst. a AsylG (Ablehnung ohne weitere Abklä- rungen bei Asylgesuchen aus sicheren Heimat- oder Herkunftsstaaten). Eine solche Fallkonstellation liegt hier allerdings nicht vor; es ist auf Art. 108 Abs. 6 AsylG abzustellen (vgl. BVGE 2023 VI/1 E. 3.9 f. sowie statt</w:t>
      </w:r>
    </w:p>
    <w:p>
      <w:r>
        <w:t>E-2863/2022 Seite 8 vieler Urteil des BVGer D-4324/2022 vom 27. Oktober 2022 E. 7.1 m.w.H.). Demnach beträgt in Verfahren nach Art. 69 AsylG die Beschwerdefrist grundsätzlich 30 Tage seit Eröffnung der Verfügung. Sodann haben die Be- hörden ihre Mitteilungen an den Vertreter zu machen, solange die Partei das Vertretungsverhältnis nicht widerruft (vgl. Art. 11 Abs. 3 VwVG). Vorliegend ist dem Beschwerdeführer weder aus der unzutreffenden Rechtsmittelbelehrung noch der Eröffnung der Verfügung an ihn persönlich ein Rechtsnachteil erwachsen, da es ihm möglich war, innert der verfügten Rechtsmittelfrist gehörig Beschwerde zu führen (vgl. Art. 35 Abs. 1 i.V.m. Art. 38 VwVG; BGE 144 II 401 E. 3.1 S. 404 f.). Da es sich bei der falschen Rechtsmittelbelehrung allerdings nicht bloss um ein einmaliges Versehen handelt (vgl. im vorstehenden Absatz zitierte Rechtsprechung) ist das SEM mit Nachdruck aufzufordern, inskünftig die gesetzlichen Bestimmungen zu beachten und seine Verfügungen mit gesetzeskonformen Rechtsmittelbe- lehrungen zu versehen. Ob vorliegend die angefochtene Verfügung zu Un- recht dem Beschwerdeführer direkt zugestellt – und damit mangelhaft er- öffnet – worden ist, kann angesichts des Ausgangs dieses Verfahrens of- fenbleiben.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 1264). Die in diesen Fäl- 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ist die Sache an das SEM zurückzuweisen, zumal die an- gefochtene Verfügung mehrere verfahrensrechtliche Mängel aufweist und insbesondere im Hinblick auf die Frage, ob die Beziehung des Beschwer- deführers zu seiner ukrainischen Partnerin in den schutzberechtigten Per- sonenkreis gemäss Ziff. I Bst. a der bundesrätlichen Allgemeinverfügung fällt, weiterer Abklärungen bedarf. Das SEM wird insbesondere abzuklären haben, ob der Beschwerdeführer und seine angebliche Partnerin zum Zeit- punkt des Kriegsausbruchs in der Ukraine in einer gefestigten respektive</w:t>
      </w:r>
    </w:p>
    <w:p>
      <w:r>
        <w:t>E-2863/2022 Seite 9 eheähnlichen Beziehung lebten, womit der Beschwerdeführer als «Part- ner» einer ukrainischen Staatsangehörigen allenfalls zum schutzberechtig- ten Personenkreis gemäss Ziff. I Bst. a der Allgemeinverfügung des Bun- desrats zu zählen ist. Dazu können einerseits der Beschwerdeführer und seine angebliche Partnerin befragt, andererseits auch die vom Beschwer- deführer selbst in Aussicht gestellten – aber bis dato nicht eingereichten – Beweismittel eingeholt werden. Sollte das SEM nach Abklärung des rechts- erheblichen Sachverhalts erneut zum Schluss gelangen, dem Beschwer- deführer sei der Schutzstatus S zu verweigern, hat es dies gehörig und unter Berücksichtigung der vorstehend erwähnten Rechtsprechung zu be- gründen und im Entscheid die korrekten rechtlichen Bestimmungen anzu- wenden (vgl. E. 6).</w:t>
      </w:r>
    </w:p>
    <w:p>
      <w:r>
        <w:rPr>
          <w:b/>
        </w:rPr>
        <w:t>E. 8</w:t>
      </w:r>
    </w:p>
    <w:p>
      <w:r>
        <w:t>Die Beschwerde ist demnach gutzuheissen, soweit die Aufhebung der an- gefochtenen Verfügung beantragt worden ist, und die Sache ist im Sinne der Erwägungen an die Vorinstanz zur vollständigen Sachverhaltsabklä- rung und zur Neubeurteilung mit rechtsgenügender Begründung zurückzu- weisen.</w:t>
      </w:r>
    </w:p>
    <w:p>
      <w:r>
        <w:rPr>
          <w:b/>
        </w:rPr>
        <w:t>E. 9</w:t>
      </w:r>
    </w:p>
    <w:p>
      <w:r>
        <w:t>Bei diesem Ausgang des Verfahrens sind keine Kosten zu erheben (Art. 63 Abs. 1 und 2 VwVG). Damit ist das Gesuch um Gewährung der unentgelt- lichen Prozessführung inklusive Kostenvorschussverzicht gegenstandslos geworden.</w:t>
      </w:r>
    </w:p>
    <w:p>
      <w:r>
        <w:rPr>
          <w:b/>
        </w:rPr>
        <w:t>E. 10.1</w:t>
      </w:r>
    </w:p>
    <w:p>
      <w:r>
        <w:t>Zu prüfen ist mit Blick auf eine allfällige Parteientschädigung, ob es sich bei der Rechtsvertretung vorliegend effektiv um eine zugewiesene Rechtsvertretung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respektive – da kein Gesuch um amtliche Verbeiständung gestellt wurde – Art. 64 VwVG und Art. 7 Abs. 1 VGKE zu erstatten wäre.</w:t>
      </w:r>
    </w:p>
    <w:p>
      <w:r>
        <w:rPr>
          <w:b/>
        </w:rPr>
        <w:t>E. 10.2</w:t>
      </w:r>
    </w:p>
    <w:p>
      <w:r>
        <w:t>Im zur Publikation vorgesehenen Urteil D-2430/2022 vom 5. Septem- ber 2022 hat sich das Bundesverwaltungsgericht eingehend mit der An- wendbarkeit der Bestimmungen des achten Kapitels des Asylgesetzes auf</w:t>
      </w:r>
    </w:p>
    <w:p>
      <w:r>
        <w:t>E-2863/2022 Seite 10 Verfahren gemäss Art. 69 AsylG auseinandergesetzt. Darin kam das Ge- richt zum Schluss, dass die zugewiesene Rechtsvertretung in denjenigen Fällen zuständig bleibe, in welchen der ablehnende Entscheid noch wäh- rend des physischen Aufenthalts der schutzsuchenden Person im BAZ er- gehe. Wenn die zugewiesene Rechtsvertretung das Verfahren jedoch nach einem vorzeitigen Austritt der schutzsuchenden Person aus dem BAZ aus- nahmsweise weiterführe, umfasse das weitergeführte Mandat nur allfällige entscheidrelevante Schritte im erstinstanzlichen Verfahren; das Verfassen einer Beschwerdeschrift gehöre nicht dazu (vgl. a.a.O. E. 10.3, insb. E. 10.3.3.3 f.).</w:t>
      </w:r>
    </w:p>
    <w:p>
      <w:r>
        <w:rPr>
          <w:b/>
        </w:rPr>
        <w:t>E. 10.3</w:t>
      </w:r>
    </w:p>
    <w:p>
      <w:r>
        <w:t>Vorliegend ergibt sich aus dem Umstand, dass die angefochtene Ver- fügung dem Beschwerdeführer mittels einer Adresse im Kanton zugestellt respektive eröffnet wurde (vgl. act. 5 und 6), dass der Beschwerdeführer vorzeitig aus dem BAZ ausgetreten ist. Demgemäss ist davon auszugehen, dass der notwendige Aufwand für das vorliegende Beschwerdeverfahren nicht durch die vom Bund nach Art. 102k AsylG auszurichtende Pauschale abgedeckt und daher zu entschädigen ist.</w:t>
      </w:r>
    </w:p>
    <w:p>
      <w:r>
        <w:rPr>
          <w:b/>
        </w:rPr>
        <w:t>E. 11</w:t>
      </w:r>
    </w:p>
    <w:p>
      <w:r>
        <w:t>Dem vertretenen Beschwerdeführer ist angesichts seines Obsiegens in An- wendung von Art. 64 VwVG und Art. 7 Abs. 1 VGKE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600.– zuzusprechen.</w:t>
      </w:r>
    </w:p>
    <w:p>
      <w:r>
        <w:t>(Dispositiv nächste Seite)</w:t>
      </w:r>
    </w:p>
    <w:p>
      <w:r>
        <w:t>E-2863/2022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