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E-2862/2011 vom 14. November 2012</w:t>
      </w:r>
    </w:p>
    <w:p>
      <w:r>
        <w:t>Bundesverwaltungsgericht, 2012-11-14, DE</w:t>
      </w:r>
    </w:p>
    <w:p>
      <w:r>
        <w:rPr>
          <w:b/>
        </w:rPr>
        <w:t xml:space="preserve">Quelle: </w:t>
      </w:r>
      <w:r>
        <w:t>https://mcp.opencaselaw.ch/entscheid/bvger_E-2862_2011</w:t>
      </w:r>
    </w:p>
    <w:p>
      <w:r>
        <w:t>FR: TAF E-2862/2011 du 14 novembre 2012</w:t>
      </w:r>
    </w:p>
    <w:p>
      <w:r>
        <w:t>IT: TAF E-2862/2011 del 14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Als Flüchtlinge im Sinne von Art. 3 AsylG gelten auch Personen, die erst durch ihre Ausreise aus dem Heimat- oder Herkunftsstaat oder wegen ihres Verhaltens nach der Ausreise ernsthaften Nachteilen ausge­setzt sind. Massgebend für die Annahme solcher subjektiver Nachfluchtgründe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4.3</w:t>
      </w:r>
    </w:p>
    <w:p>
      <w:r>
        <w:t>Personen mit subjektiven Nachfluchtgründen erhalten gemäss Art. 54 AsylG kein Asyl, werden jedoch als Flüchtlinge vorläufig aufgenommen, da die Ausschaffung in ihr Heimat- oder Herkunftsland unzulässig ist (Art. 44 Abs. 2 AsylG i.V.m. Art. 83 Abs. 3 des Bundesgesetzes vom 16. Dezember 2005 über die Ausländerinnen und Ausländer [AuG, SR 142.20]).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5.1</w:t>
      </w:r>
    </w:p>
    <w:p>
      <w:r>
        <w:t>Zur Begründung seiner Verfügung führte das BFM aus, die vom Beschwerdeführer geltend gemachten subjektiven Nachfluchtgründe hielten den Anforderungen an die Flüchtlingseigenschaft nicht stand. Aus der blossen Mitgliedschaft bei der KDPI vermöge er bei einer allfälligen Rückkehr in den Heimatstaat keine asylrelevante Verfolgung abzuleiten. Den Akten seien keine Hinweise zu entnehmen, dass die iranischen Behörden von seiner Mitgliedschaft auch nur Kenntnis genommen oder gar irgendwelche Massnahmen zu seinem Nachteil eingeleitet hätten. Ferner dürfte es den iranischen Behörden unmöglich sein, das auf dem Internet aufgeschaltete Publikationsmaterial von den unzähligen exilpolitischen Anlässen konkret einer Person zuzuordnen. So seien die Aktivitäten des Beschwerdeführers wie die regelmässige Teilnahme an Kundgebungen sowie seine Stellung als (...) oder (...) an Parteianlässen oder Publikationen im Internet nicht geeignet, eine konkrete Gefährdung im Falle einer Rückkehr zu bewirken. Es lägen keine Anhaltspunkte vor, dass gegen ihn wegen dieser Aktivitäten im Iran ein Verfahren eingeleitet worden sei. Damit verfüge der Beschwerdeführer nicht über das Profil, welches ihn bei einer Rückkehr in den Iran einer konkreten Gefährdung aussetzen würde.</w:t>
      </w:r>
    </w:p>
    <w:p>
      <w:r>
        <w:rPr>
          <w:b/>
        </w:rPr>
        <w:t>E. 5.2</w:t>
      </w:r>
    </w:p>
    <w:p>
      <w:r>
        <w:t>Der Beschwerdeführer macht in seinem zweiten Asylgesuch aus­schliesslich (nochmals) geltend, aufgrund seiner exilpolitischen Aktivitäten in der Schweiz bei einer Rückkehr in den Iran einer flüchtlingsrechtlich relevanten Verfolgung durch die iranischen Behörden ausgesetzt zu sein.</w:t>
      </w:r>
    </w:p>
    <w:p>
      <w:r>
        <w:rPr>
          <w:b/>
        </w:rPr>
        <w:t>E. 5.3</w:t>
      </w:r>
    </w:p>
    <w:p>
      <w:r>
        <w:t>Bei der Prüfung, ob eine exilpolitisch aktive Person aus dem Iran in ihrem Heimatland im Sinne von Art. 3 AsylG gefährdet ist und als Folge ihrer Exil-Tätigkeit im heutigen Zeitpunkt die Flüchtlingseigenschaft erfüllt, ist festzuhalten, dass die politische Betätigung für staatsfeindliche Organisationen im Ausland seit der Neufassung des iranischen Strafrechts am 9. Juli 1996 (Art. 498 - 500) unter Strafe gestellt ist. Iranische Sicherheitsdienste beobachten und erfassen die politischen Aktivitäten von Iranerinnen und Iranern im Ausland, insbesondere diejenige von führenden Mitgliedern regierungskritischer Organisationen. Umfang und Intensität der Überwachung sind jedoch nur schwer abzuschätzen, seit den Unruhen im Anschluss an die Präsidentschaftswahlen im Jahre 2009 scheint die Überwachung aber eher zugenommen zu haben. Mittels Einsatz moderner Software dürfte es den iranischen Behörden technisch auch möglich sein, die im Internet vorhandenen grossen Datenmengen ohne allzu grossen Aufwand in einem gewissen Ausmass zu überwachen (vgl. Fiorenza Kuthan, Iran: Illegale Ausreise/Si­tuation von Mitgliedern der PDKI/Politische Aktivitäten im Exil, Auskunft der SFH-Länderanalyse, 16. November 2010, S. 10 ff.). Die iranischen Geheimdienste scheinen sich auf die Erfassung von Per­sonen zu konzentrieren, die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keiner allgemeinen Überwachungsgefahr durch iranische Exilbehörden (vgl. BVGE 2009/28 E. 7.4.3). Keine Rolle spielt dabei die Quantität der exilpolitischen Aktivitäten,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Michael Kirschner, Iran: Rückkehrgefährdung für AktivistInnen und Mitglieder exilpolitischer Organisationen - Informationsgewinnung iranischer Behörden, Auskunft der SFH-Länderanalyse, 4. April 2006, S. 7 f.).</w:t>
      </w:r>
    </w:p>
    <w:p>
      <w:r>
        <w:rPr>
          <w:b/>
        </w:rPr>
        <w:t>E. 5.4</w:t>
      </w:r>
    </w:p>
    <w:p>
      <w:r>
        <w:t>Vorweg ist festzuhalten, dass die im Rahmen des ersten Asylgesuchs geltend gemachten Probleme vor seiner Ausreise aus dem Iran rechtskräftig nicht glaubhaft gemacht werden konnten (vgl. Urteil des Bundesverwaltungsgerichts E-7841/2008 vom 21. Januar 2009), so dass nicht davon ausgegangen werden kann, der Beschwerdeführer sei vor dem Verlassen seines Heimatlandes wegen seines politischen Engagements als regimefeindliche Person ins Blickfeld der iranischen Behörden oder des Nachrichtendienstes geraten. Bereits im ersten Asylverfahren machte der Beschwerdeführer exilpolitische Aktivitäten geltend, welchen der zur Anerkennung der Flüchtlingseigenschaft notwendige Exponierungsgrad nicht beigemessen werden konnte (vgl. a.a.O. E. 4.3.3). Die im jetzigen Asylverfahren zu beurteilenden exilpolitischen Aktivitäten sind bis September 2011 dokumentiert. Es ist im vorliegenden Verfahren davon aus­zugehen, dass es auch keine neueren Aktivitäten gibt, die nach Auffas­sung des Beschwerdeführers für das Verfahren von Bedeutung sein könnten, zumal dieser durch einen in einschlägigen Verfahren bewanderten Rechtsanwalt vertreten ist, welcher sich der allfälligen Notwendigkeit einer Aktualisierung bewusst ist. Diese Aktivitäten (so die Mitgliedschaft bei der PDKI Schweiz mit der Teilnahme an deren Anlässen und Veranstaltungen und Kundgebungen, seine Funktionen als Verantwortlicher einer Region sowie der Jugendgruppe, als (...), das Verfassen regimekritischer Artikel auf der Homepage der PDKI und für die Zeitschrift "Agiri") unterscheiden sich von ihrem Gehalt her nicht in einem solchen Mass von den bereits im ersten Verfahren beurteilten, so dass nun von einer flüchtlingsrechtlichen Gefährdung des Beschwerdeführers auszugehen wäre. So finden diese Aktivitäten weder in den nationalen noch in den internationalen Medien ein Echo. Die Artikel, die der Beschwerdeführer unter eigenem Namen im Internet publizierte respektive, die in der Zeitung Agirî erschienen sind, sind nicht geeignet, ihn einer Verfolgungsgefahr durch die iranischen Behörden auszusetzen. Hinsichtlich der in der genannten Zeitschrift - wobei es sich bei dieser Zeitung bezeichnenderweise um eine kurdische Zeitschrift handelt - publizierten Artikel (Nrn. 153, 160, 162, 163, 165, 167) ist festzustellen, dass es sich dabei um allgemein formulierte regimekritische Beiträge handelt, welche aufgrund der gesamten Umstände nicht geeignet sind, bei ihm - auch wenn diese Berichte unter seinem Namen und mit seinem Foto versehen publiziert worden sind - das Profil eines exponierten Regierungsgegners bejahen zu können, welcher für die iranischen Machthaber als gefährliche Person eingestuft werden müsste (vgl. BVGE 2009/28). Ebenso vermag der von ihm am 20. Oktober 2011 eingereichte, auf peshmergekan.com veröffentlichte, fremdsprachige Internetartikel über eine Veranstaltung in Biel anlässlich des 22. Jahrestages der Ermordung von Dr. Abdulrahman Qasemlu vom 16. Juli 2011 sowie die anlässlich dieser Veranstaltung gemachte Fotografie des Beschwerdeführers mit lokalen Politikern, dem vorstehend aufgezeigten Exponierungsgrad nicht zu genügen. Auch der mit gleichem Datum eingereichte fremdsprachige Internetausruck vom 24. September 2011, welcher den Beschwerdeführer zusammen mit anderen Teilnehmern anlässlich einer Veranstaltung zu Ehren des in Deutschland ermordeten Führers der PDKI in Biel zeigt, hat ihn mit überwiegender Wahrscheinlichkeit den iranischen Behörden nicht namentlich bekannt gemacht. Insgesamt ist den Akten nicht zu entnehmen, dass sich der Beschwerdeführer mit seinem Tun besonders und über das Mass der anderen Teilnehmer hinaus exponiert oder eine in der Öffentlichkeit herausragende Führungsposition innegehabt hätte. Weiter ist auch der Hinweis auf den Entscheid des Menschenrechtsrates der UNO vom 17. Juni 2011 (recte: 23. Mai 2011) i.S. J.F. v. Switzerland in der Eingabe vom 14. Juni 2011 unbehelflich, zumal sich das Profil der betreffenden Person von jenem des Beschwerdeführers unterscheidet. Schliesslich sind weder den Akten noch den Aussagen des Beschwerdeführers Hinweise darauf zu entnehmen, dass die iranischen Behörden tatsächlich auf den Beschwerdeführer aufmerksam geworden wären oder seine im Iran verbliebene Familie irgendwelchen Verfolgungshandlungen seitens der iranischen Behörden ausgesetzt gewesen wäre.</w:t>
      </w:r>
    </w:p>
    <w:p>
      <w:r>
        <w:rPr>
          <w:b/>
        </w:rPr>
        <w:t>E. 5.5</w:t>
      </w:r>
    </w:p>
    <w:p>
      <w:r>
        <w:t>Zusammenfassend ist festzustellen, dass die geltend gemachten exilpolitischen Aktivitäten - auch kumuliert - nicht geeignet sind, eine flüchtlingsrechtlich relevante Verfolgungsfurcht des Beschwerdeführers bei einer Rückkehr in den Iran zu begründen. Es erübrigt sich an dieser Stelle, noch näher auf die Ausführungen auf Beschwerdeebene und die eingereichten Dokumente einzugehen. Das BFM hat damit zu Recht und mit zutreffender Begründung festgestellt, der Beschwerdeführer erfülle die Flüchtlingseigenschaft nicht, und dessen Asylgesuch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6.1</w:t>
      </w:r>
    </w:p>
    <w:p>
      <w:r>
        <w:t>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 7.1 Ist der Vollzug der Wegweisung nicht zulässig, nicht zumutbar oder nicht möglich, regelt das Bundesamt das Anwesenheitsverhältnis nach den gesetzlichen Bestimmungen über die vorläufige Aufnahme von Ausländern (Art. 44 Abs. 2 AsylG und Art. 83 Abs. 1 AuG). 7.2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 7.3 Da es dem Beschwerdeführer nicht gelungen ist, die Flüchtlingseigenschaft gemäss Art. 3 AsylG bzw. Art. 1 A Ziff. 2 FK nachzuweisen oder glaubhaft zu machen, findet das in Art. 5 AsylG und Art. 33 Abs. 1 FK verankerte Prinzip des flüchtlingsrechtlichen Refoulementverbots im vorliegenden Verfahren keine Anwendung. Eine Ausschaffung des Beschwer­deführers in den Iran ist demnach unter dem Aspekt von Art. 5 AsylG und Art. 33 Abs. 1 FK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Auch die allgemeine Menschenrechtssituation im Iran lässt den Wegweisungsvollzug zum heutigen Zeitpunkt klarerweise nicht als unzulässig erscheinen. Damit erweist sich der Vollzug der Wegweisung sowohl im Sinne der asyl- als auch der völkerrechtlichen Bestimmungen als zulässig. 7.4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7.5 Im Iran besteht keine Situation allgemeiner Gewalt, die sich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nicht. Aufgrund der Aktenlage besteht kein Grund zur Annahme, der Beschwerdeführer gerate im Falle einer Rückkehr in den Iran aus individuellen Gründen wirtschaftlicher, sozialer oder gesundheitlicher Natur in eine existenzbedrohende Situation, die den Vollzug der Wegweisung unzumutbar machen. Den Akten zufolge handelt es sich beim Beschwerdeführer um einen gesunden (...)-jährigen Mann, der von Geburt an bis zu seiner Ausreise im Dorf B._______ gelebt hat. Eigenen Angaben zufolge lebte seine Frau zum Zeitpunkt seiner Ausreise immer noch dort. In B._______ hat er als (...) gearbeitet (vgl. Akten BFM A1 S. 2) und in der Schweiz hat er zudem Erfahrungen im (...) und als (...) sammeln können, so dass es ihm möglich sein dürfte, im Iran wieder erwerbstätig zu werden. Zwar ist nicht in Abrede zu stellen, dass er bei einer Rückkehr in seinen Heimatstaat aufgrund seiner langen Landesabwesenheit mit gewissen Schwierigkeiten konfrontiert sein könnte. Indessen verfügt er mit (...) in C._______ ebenfalls über ein familiäres Beziehungsnetz (vgl. A1 S. 2 f.), auf das er zurückgreifen kann. Der Vollzug der Wegweisung erweist sich mithin als zumutbar. 7.6 Schliesslich obliegt es dem Beschwerdeführer, sich bei der zuständigen Vertretung des Heimatstaates die für eine Rückkehr notwendigen Reisedokumente zu beschaffen (vgl. Art. 8 Abs. 4 AsylG), weshalb der Vollzug der Wegweisung auch als möglich zu bezeichnen ist (Art. 83 Abs. 2 AuG). 7.7 Zusammenfassend hat die Vorinstanz den Wegweisungsvollzug zu Recht als zulässig, zumutbar und möglich erachtet. Die Anordnung des Wegweisungsvollzugs ist zu bestätigen.</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 9.1 Das mit der Eingabe vom 24. Juni 2011 sinngemäss gestellte Gesuch um wiedererwägungsweise Gewährung der unentgeltlichen Rechtspflege gemäss Art. 65 Abs. 1 VwVG ist abzuweisen, da - wie sich aus den vorstehenden Erwägungen ergibt keine Gründe ersichtlich sind, welche ein wiedererwägungsweises Zurückkommen auf die Zwischenverfügung vom 27. Mai 2011 rechtfertigen könnten. 9.2 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6. Juni 2011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