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E-2853/2009 vom 4. April 2012</w:t>
      </w:r>
    </w:p>
    <w:p>
      <w:r>
        <w:t>Bundesverwaltungsgericht, 2012-04-04, DE</w:t>
      </w:r>
    </w:p>
    <w:p>
      <w:r>
        <w:rPr>
          <w:b/>
        </w:rPr>
        <w:t xml:space="preserve">Quelle: </w:t>
      </w:r>
      <w:r>
        <w:t>https://mcp.opencaselaw.ch/entscheid/bvger_E-2853_2009</w:t>
      </w:r>
    </w:p>
    <w:p>
      <w:r>
        <w:t>FR: TAF E-2853/2009 du 4 avril 2012</w:t>
      </w:r>
    </w:p>
    <w:p>
      <w:r>
        <w:t>IT: TAF E-2853/2009 del 4 aprile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in englischer Sprache und damit nicht in einer Amtssprache des Bundes (vgl. Art. 105 AsylG i.V.m. Art. 33a VwVG und Art. 70 Abs. 1 der Bundesverfassung der Schweizerischen Eidgenossenschaft vom 18. April 1999 [BV, SR 101]) abgefasst. Indes weist die Eingabe keine Unklarheiten auf, weshalb praxisgemäss auf die Einholung einer Übersetzung in eine Amtssprache zu verzichten ist (vgl. statt vieler Urteil des Bundesverwaltungsgerichts E-5509/2011 vom 22. November 2011).</w:t>
      </w:r>
    </w:p>
    <w:p>
      <w:r>
        <w:rPr>
          <w:b/>
        </w:rPr>
        <w:t>E. 1.3</w:t>
      </w:r>
    </w:p>
    <w:p>
      <w:r>
        <w:t>Der Beschwerdeführer ist als Verfügungsadressat zur Beschwerdeführung legitimiert (Art. 48 VwVG). Auf die frist- und formgerecht eingereichte Beschwerde (Art. 52 VwVG und Art. 108 Abs. 1 AsylG)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Ein Asylgesuch kann gemäss Art. 19 Abs. 1 AsylG im Ausland bei einer schweizerischen Vertretung gestellt werden, die es mit einem Bericht an das Bundesamt überweist (Art. 20 Abs. 1 AsylG).</w:t>
      </w:r>
    </w:p>
    <w:p>
      <w:r>
        <w:rPr>
          <w:b/>
        </w:rPr>
        <w:t>E. 4.2</w:t>
      </w:r>
    </w:p>
    <w:p>
      <w:r>
        <w:t>Gemäss 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Glaubhaft gemacht gemäss Art. 7 AsylG heisst, dass die Behörde die geltend gemachte Gefährdung mit überwiegender Wahrscheinlichkeit für gegeben hält. Unglaubhaft sind demnach Vorbringen, die in wesentlichen Punkten zu wenig begründet oder in sich widersprüchlich sind, den Tatsachen nicht entsprechen oder massgeblich auf gefälschte oder verfälschte Beweismittel abgestützt werden (vgl. BVGE 2010/57 E. 2.2 und 2.3).</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 E-5509/2011 vom 22. November 2011 E. 4.4).</w:t>
      </w:r>
    </w:p>
    <w:p>
      <w:r>
        <w:rPr>
          <w:b/>
        </w:rPr>
        <w:t>E. 5.1</w:t>
      </w:r>
    </w:p>
    <w:p>
      <w:r>
        <w:t>Die Vorinstanz stellte in der angefochtenen Verfügung fest, der Beschwerdeführer sei nicht schutzbedürftig, lehnte das Asylgesuch ab und bewilligte die Einreise in die Schweiz nicht. In ihrer Begründung bedauert die Vorinstanz vorweg, dass die drei Brüder des Beschwerdeführers verschwunden beziehungsweise verschleppt wurden. Sodann stellt es fest, dem Gesuch um Einreise in die Schweiz könne nicht entsprochen werden, müsse doch mit überwiegender Wahrscheinlichkeit davon ausgegangen werden, dass der Beschwerdeführer nicht von gezielter Verfolgung betroffen sei, er bei einem Verbleib im Heimatland nicht akut gefährdet sei und eine Schutzgewährung nicht nur im Ausland erfolgen könne. Anlässlich der Befragung vom 29. Januar 2009 habe der Beschwerdeführer geltend gemacht, nach den drei Verfolgungen durch einen weissen Van sei nichts mehr vorgefallen. Zudem habe er ausgesagt, er sei regelmässig seiner Arbeit nachgegangen. Es sei daher zu schliessen, dass die Unbekannten kein Verfolgungsinteresse an seiner Person hätten, ansonsten sie ihn ohne weiteres hätten aufgreifen können.</w:t>
      </w:r>
    </w:p>
    <w:p>
      <w:r>
        <w:rPr>
          <w:b/>
        </w:rPr>
        <w:t>E. 5.2.1</w:t>
      </w:r>
    </w:p>
    <w:p>
      <w:r>
        <w:t>In der Rechtsmitteleingabe macht der Beschwerdeführer zunächst geltend, er verstehe die in deutscher Sprache verfasste Verfügung der Vorinstanz nicht. Dazu ist festzustellen, dass die angefochtene Verfügung korrekterweise in einer Amtssprache erlassen wurde (vgl. Art. 33a Abs. 1 VwVG i.V.m. Art. 6 AsylG; Art. 16 AsylG). Zudem wurde dem Beschwerdeführer im Begleitschreiben der schweizerischen Vertretung vom 4. März 2009 das Dispositiv der angefochtenen Verfügung in eine für ihn verständliche Sprache (Englisch) übersetzt, ebenso wurde er darauf hingewiesen, dass er innerhalb von 30 Tagen Beschwerde gegen den Entscheid der Vorinstanz einreichen könne. Dem Beschwerdeführer war demnach hinreichend bekannt, dass seinem Ersuchen nicht entsprochen wurde. Sodann hat er fristgerecht Beschwerde gegen den vorinstanzlichen Entscheid eingereicht. Da es grundsätzlich Sache des Beschwerdeführers ist, sich die vorinstanzlichen Erwägungen in eine für ihn verständliche Sprache übersetzen zu lassen, vermag er aus dem erhobenen Einwand nichts zu seinen Gunsten abzuleiten.</w:t>
      </w:r>
    </w:p>
    <w:p>
      <w:r>
        <w:rPr>
          <w:b/>
        </w:rPr>
        <w:t>E. 5.2.2</w:t>
      </w:r>
    </w:p>
    <w:p>
      <w:r>
        <w:t>Weiter macht der Beschwerdeführer nach Wiederholung der bereits aktenkundigen Vorbringen geltend, er sei am 14. Februar 2009 an seinem Wohnort von bewaffneten Unbekannten gesucht worden, worauf er das UNHCR und das ICRC informiert habe. Ferner sei er anlässlich eines Aufenthalts in I._______ von der Polizei verhaftet worden. Nachdem diese mit der Polizei seines Wohnortes Rücksprache genommen habe, sei er ohne weiteres freigelassen worden. Er lebe nach wie vor im Versteckten. Auch diese neu vorgebrachten Behelligungen sind nicht geeignet, die vor-instanzliche Einschätzung in einem anderen Lichte zu besehen. Hätten die heimatlichen Behörden tatsächlich ein ernsthaftes Verfolgungsinteresse an der Person des Beschwerdeführers gehabt, so wäre er wohl kaum nach kurzer Zeit und ohne Auflage wieder aus der Polizeihaft freigelassen worden. Mit der Vorinstanz ist daher festzustellen, dass der Beschwerdeführer in absehbarer Zeit keine ernsthaften Nachteile durch Verfolgungsmassnahmen der sri-lankischen Behörden zu befürchten hat. Kommt hinzu, dass die geltend gemachten Behelligungen in Zusammenhang mit der damaligen Bürgerkriegssituation und der damit verbundenen Bekämpfung der LTTE zu sehen sind. Seither hat sich die allgemeine Lage in Sri Lanka wesentlich verändert hat (vgl. die ausführliche Lageanalyse im zur Publikation vorgesehene Urteil des Bundesverwaltungsgerichte E-6220/2006 vom 27. Oktober 2011). Gemäss diesem Entscheid gehören Personen, die einer Verbindung zu den LTTE verdächtigt werden auch heute noch potenziell zu einer gefährdeten Risikogruppe. Der Beschwerdeführer war indes gemäss seinen Angaben nie aktiv bei den LTTE. Zudem wurde er, wie vorstehend ausgeführt, anlässlich seiner Verhaftung ohne weiteres freigelassen. Er verfügt folglich über kein besonderes Profil, welches eine Gefährdung im Sinne von Art. 3 AsylG als wahrscheinlich erscheinen lässt.</w:t>
      </w:r>
    </w:p>
    <w:p>
      <w:r>
        <w:rPr>
          <w:b/>
        </w:rPr>
        <w:t>E. 5.2.3</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zumutbar. Die Vorinstanz hat demnach dem Beschwerdeführer zu Recht die Einreise in die Schweiz nicht bewilligt und das Asylgesuch aus dem Ausland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