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E-2851/2012 vom 5. Juni 2012</w:t>
      </w:r>
    </w:p>
    <w:p>
      <w:r>
        <w:t>Bundesverwaltungsgericht, 2012-06-05, DE</w:t>
      </w:r>
    </w:p>
    <w:p>
      <w:r>
        <w:rPr>
          <w:b/>
        </w:rPr>
        <w:t xml:space="preserve">Quelle: </w:t>
      </w:r>
      <w:r>
        <w:t>https://mcp.opencaselaw.ch/entscheid/bvger_E-2851_2012</w:t>
      </w:r>
    </w:p>
    <w:p>
      <w:r>
        <w:t>FR: TAF E-2851/2012 du 5 juin 2012</w:t>
      </w:r>
    </w:p>
    <w:p>
      <w:r>
        <w:t>IT: TAF E-2851/2012 del 5 giugno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desjenigen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[vormaligen] Schweizerischen Asylrekurskommission [EMARK] 2003 Nr. 17 E. 2.a S. 103 f. mit weiteren Hinweisen).</w:t>
      </w:r>
    </w:p>
    <w:p>
      <w:r>
        <w:rPr>
          <w:b/>
        </w:rPr>
        <w:t>E. 6</w:t>
      </w:r>
    </w:p>
    <w:p>
      <w:r>
        <w:t>Mit den im Wiedererwägungsverfahren eingereichten Dokumenten, die seine bestrittene Herkunft aus Eritrea beweisen sollen, macht der Beschwerdeführer sinngemäss den Revisionsgrund neuer erheblicher Beweismittel geltend (vgl. Art. 66 Abs. 2 Bst. a VwVG). Da die Verfügung vom 16. November 2010 unangefochten in Rechtskraft erwachsen ist, kann ein solcher Revisionsgrund vor dem BFM wiedererwägungsweise angerufen werden (qualifiziertes Wiedererwägungsgesuch), so dass ein zulässiger Wiedererwägungsgrund vorliegt und das BFM auf das Wiedererwägungsgesuch zu Recht eingetreten ist. Das BFM stellte in seiner Verfügung nach Vornahme einer internen Prüfung der eingereichten Dokumente fest, dass es sich sowohl bei der Taufurkunde der eritreisch-orthodoxen Kirche als auch bei der am 16. November 2007 ausgestellten Geburtsurkunde eindeutig um Fälschungen handle. So seien unter anderem die darauf angebrachten Stempel klarerweise nicht authentisch. Dieser Schluss ist vom Bundesverwaltungsgericht zu bestätigen. Aufgrund öffentlicher Geheimhaltungsinteressen (Schutz vor Missbrauch) hat das BFM in seiner Verfügung zu Recht keine detaillierteren Angaben dazu gemacht (vgl. Art. 27 Abs. 1 VwVG). Im Übrigen fällt auf, dass der Vorname der Mutter des Beschwerdeführers auf den Dokumenten nicht deckungsgleich geschrieben wurde. Im Wiedererwägungsgesuch wird sodann ausgeführt, der Beschwerdeführer habe "nun nach vielen Bemühungen sein eritreisches Geburtszertifikat und das Taufzertifikat der Orthodoxen Tewahedo Kirche kürzlich erhalten", die konkreten Schritte und Vorkehrungen zum Erhalt der Dokumente und der Zeitpunkt des Erhalts werden indes nicht dargelegt; mithin ist auch nicht ersichtlich, inwiefern es weder möglich noch zumutbar gewesen sein soll, die Dokumente früher, nämlich im Laufe des ordentlichen Verfahrens beizubringen. Schliesslich ist auffallend, dass der Beschwerdeführer im Rahmen des ordentlichen Verfahren nie gesagt hat, er sei im Besitz einer Geburtsurkunde. Indem der Beschwerdeführer auf Beschwerdeebene im Wesentlichen seine früheren Vorbringen bekräftigt und pauschal bestreitet, dass die Beweismittel gefälscht seien, bringt er klarerweise nichts vor, was geeignet wäre, den Entscheid der Vorinstanz umzustossen. Mit der Beschwerde reicht der Beschwerdeführer stattdessen weitere Dokumente nach, welche seine eritreische Herkunft belegen sollen. Es handle sich dabei um ein Schreiben von drei Nachbarn und Freunden (Telefax mit französischer Übersetzung) sowie deren Identitätskarten in Kopie (ebenfalls mit französischer Übersetzung) und ein weiteres Schreiben eines Jugendfreundes (Telefax mit französischer Übersetzung). Einerseits wird auch diesbezüglich nicht dargelegt, weshalb es weder möglich noch zumutbar gewesen sein soll, diese Dokumente im ordentlichen Verfahren zu beschaffen und einzureichen. Das ausserordentliche Verfahren der Wiedererwägung dient nicht dazu, Versäumnisse des ordentlichen Verfahrens und insbesondere ein verpasstes Beschwerdeverfahren nachzuholen. Andererseits sind die Briefe entgegen seinen Ausführungen als blosse Gefälligkeitsschreiben zu werten und vermögen die vom Beschwerdeführer behauptete eritreische Herkunft nicht zu belegen. Insgesamt liegen somit keine neuen und erheblichen Beweismittel im Sinne von Art. 66 Abs. 2 Bst. a VwVG vor. Die Rechtskraft der Verfügung des BFM vom 16. November 2010 bleibt somit bestehen.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Nach dem Gesagten erweisen sich die Begehren als aussichtslos, so dass das Gesuch um Gewährung der unentgeltlichen Rechtspflege (ungeachtet einer allenfalls bestehenden Fürsorgeabhängigkeit) gemäss Art. 65 Abs. 1 VwVG abzuweisen ist. Der Antrag auf Aussetzung des Vollzugs wird mit dem vorliegenden Direktentscheid gegenstandslos.</w:t>
      </w:r>
    </w:p>
    <w:p>
      <w:r>
        <w:rPr>
          <w:b/>
        </w:rPr>
        <w:t>E. 9</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