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E-284/2018 vom 27. Juli 2018</w:t>
      </w:r>
    </w:p>
    <w:p>
      <w:r>
        <w:t>Bundesverwaltungsgericht, 2018-07-27, FR</w:t>
      </w:r>
    </w:p>
    <w:p>
      <w:r>
        <w:rPr>
          <w:b/>
        </w:rPr>
        <w:t xml:space="preserve">Quelle: </w:t>
      </w:r>
      <w:r>
        <w:t>https://mcp.opencaselaw.ch/entscheid/bvger_E-284_2018</w:t>
      </w:r>
    </w:p>
    <w:p>
      <w:r>
        <w:t>FR: TAF E-284/2018 du 27 juillet 2018</w:t>
      </w:r>
    </w:p>
    <w:p>
      <w:r>
        <w:t>IT: TAF E-284/2018 del 27 luglio 2018</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bien-fondé et le sérieux de ses motifs.</w:t>
      </w:r>
    </w:p>
    <w:p>
      <w:r>
        <w:rPr>
          <w:b/>
        </w:rPr>
        <w:t>E. 3.2</w:t>
      </w:r>
    </w:p>
    <w:p>
      <w:r>
        <w:t>En effet, il ressort de ses dires qu'il a rompu avec sa famille, qui désapprouvait son abandon de l'islam, et qu'il s'est trouvé, pour cette raison, occasionnellement exposé à l'animosité de certains habitants de C._______. Aussi déplaisants qu'aient été ces conflits et disputes, ils ne peuvent cependant être considérés comme une persécution, faute d'intensité ; en particulier, il n'y avait pas pression psychique insupportable, ce qui aurait supposé que le harcèlement, de manière objective, ait atteint une intensité et un degré tels qu'il ait rendu impossible, ou difficilement supportable, la poursuite du séjour, de telle sorte que n'importe quelle personne confrontée à une situation analogue aurait été contrainte de fuir le pays (cf. ATAF 2010/28 consid. 3.3.1.1 p. 400-401 et réf. cit.). En outre, bien que l'intéressé ait encore passé plusieurs années dans sa ville d'origine, alors que son athéisme était déjà connu, aucun événement fâcheux ne lui serait toutefois arrivé, et les autorités paraissent ne s'être jamais préoccupées de sa situation.</w:t>
      </w:r>
    </w:p>
    <w:p>
      <w:r>
        <w:rPr>
          <w:b/>
        </w:rPr>
        <w:t>E. 3.3</w:t>
      </w:r>
    </w:p>
    <w:p>
      <w:r>
        <w:t>S'agissant des risques pesant sur lui du fait de son reniement de la religion musulmane, le Tribunal constate que si l'abandon de l'islam, ou la conversion à une autre religion, ne sont pas légalement interdits dans la zone autonome kurde de l'Irak, ils ne sont néanmoins pas reconnus par les autorités, le statut personnel des individus concernés restant le même. En pratique, une personne renonçant à l'islam aura de la peine à obtenir la protection des autorités contre des menaces émanant de ses proches ou de son clan, la plus grande partie de la population n'admettant pas un tel comportement. Cette situation a bien évolué vers une plus grande admission des dissidences religieuses et une meilleure tolérance des confessions minoritaires, dans ces dernières années, du fait que la zone autonome kurde a donné asile à un grand nombre de personnes fuyant la persécution infligée par Daech ; la liberté de croyance reste malgré tout loin d'y être admise en pratique. Cela étant, il est rare que la vie ou l'intégrité physique des personnes concernées fassent l'objet d'atteintes directes ; elles peuvent cependant subir un harcèlement du fait de tiers, et affronter diverses discriminations dans leur vie quotidienne ou professionnelle, ainsi que cela a été le cas du recourant. L'existence d'un risque de persécution généralisé ne peut dès lors être retenue (cf. Organisation suisse d'aide aux réfugiés [OSAR], Gesetzliche Lage für die Abkehr vom Islam in der autonomen Region Kurdistan, Schutzwille der Behörden, mai 2016).</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à titre préliminaire que les trois conditions posées par l'art. 83 al. 2 à 4 LEtr, s'opposant à l'exécution du renvoi (illicéité, inexigibilité et impossibilité), sont de nature alternative : il suffit que l'une d'elles soit réalisée pour que le renvoi soit inexécutable.</w:t>
      </w:r>
    </w:p>
    <w:p>
      <w:r>
        <w:rPr>
          <w:b/>
        </w:rPr>
        <w:t>E. 6.2</w:t>
      </w:r>
    </w:p>
    <w:p>
      <w:r>
        <w:t>En l'occurrence, c'est sur la question de l'exigibilité que l'autorité de céans doit porter son examen.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6.3</w:t>
      </w:r>
    </w:p>
    <w:p>
      <w:r>
        <w:t>S'agissant de l'Irak, le Tribunal a distingué, dans sa jurisprudence, la situation régnant dans les trois provinces kurdes du nord (Dohuk, Erbil et C._______) de celle du reste de l'Irak, et estimé que l'exécution du renvoi pouvait raisonnablement être exigée à destination de ces provinces, pour autant que le requérant soit originaire de l'une d'elles ou qu'il y ait vécu pendant une longue période, et qu'il y dispose d'un réseau social suffisant (cf. ATAF 2008/5, consid. 7.5, en particulier consid. 7.5.8). Il a confirmé cette jurisprudence dans un arrêt de référence E-3737/2015 du 14 décembre 2015 (consid. 7.4.2 et 7.4.5), dans lequel il a retenu qu'en dépit des affrontements opposant les combattants de Daesh et les Pesh-merga en Irak, l'exécution du renvoi demeurait en principe exigible pour les hommes jeunes, d'ethnie kurde, en bonne santé, originaires des provinces de Dohuk, d'Erbil, de Suleimaniya et de la nouvelle province de Halabja, ou y ayant vécu durant une longue période et y disposant d'un réseau social (famille, parenté ou amis), ou de liens avec les partis dominants. Cette jurisprudence reste d'actualité (cf. arrêt D-404/2015 du 20 juin 2017 et les réf. citées).</w:t>
      </w:r>
    </w:p>
    <w:p>
      <w:r>
        <w:rPr>
          <w:b/>
        </w:rPr>
        <w:t>E. 6.4</w:t>
      </w:r>
    </w:p>
    <w:p>
      <w:r>
        <w:t>En l'espèce, force est de constater que l'intéressé ne semble plus disposer, à la date du présent arrêt, d'un réseau social et familial en mesure de l'assister. En raison de son abandon de l'islam, sa famille l'a en effet rejeté dès 2010, puis a rompu toute relation avec lui l'année suivante ; ses proches lui ont en outre repris la fabrique qu'il exploitait, et qui lui permettait de subsister. Le recourant ne pourrait donc compter, pour sa réinsertion, sur l'aide d'aucun des membres de sa parenté. Il ressort par ailleurs de ses dires que l'ami ayant accepté de l'embaucher, durant la période antérieure à son départ (2013-2015), a lui aussi quitté l'Irak (cf. audition du 27 septembre 2017, questions 72 et 123). Dans ces conditions, l'intéressé risquerait de connaître, en cas de retour à C._______, des conditions de réinsertion particulièrement difficiles, ce d'autant plus que son abjuration de l'islam est connue des habitants, dont plusieurs s'en sont pris à lui. Il est donc hautement probable que, dénué de formation et frappé d'une exclusion sociale de fait, il ne serait pas en mesure de trouver un emploi rémunéré de nature à assurer sa survie ; de plus, le Tribunal ne peut exclure qu'avec l'écoulement du temps, l'animosité contre lui se renforce, et qu'il lui devienne impossible de résider plus longtemps à C._______.</w:t>
      </w:r>
    </w:p>
    <w:p>
      <w:r>
        <w:rPr>
          <w:b/>
        </w:rPr>
        <w:t>E. 6.5</w:t>
      </w:r>
    </w:p>
    <w:p>
      <w:r>
        <w:t>En définitive, le Tribunal doit donc admettre qu'une conjonction de facteurs particulièrement défavorables (rejet familial, isolement social, impossibilité d'exercer une activité professionnelle) mènent à la conclusion que l'existence quotidienne du recourant pourrait rencontrer des obstacles pratiques insurmontables en cas de retour dans son pays d'origine. L'exécution de son renvoi doit dès lors être considérée comme inexigible. Il y a donc lieu de prononcer l'admission provisoire de A._______. Celle-ci, en principe d'une durée d'un an (art. 85 al. 1 LEtr), renouvelable si nécessaire, apparaît mieux à même d'écarter les risques sérieux qu'il court actuellement en cas de retour.</w:t>
      </w:r>
    </w:p>
    <w:p>
      <w:r>
        <w:rPr>
          <w:b/>
        </w:rPr>
        <w:t>E. 7</w:t>
      </w:r>
    </w:p>
    <w:p>
      <w:r>
        <w:t>Le recours doit par conséquent être admis et la décision du SEM du 12 décembre 2017 annulée, en tant qu'elle ordonne l'exécution du renvoi de l'intéressé. L'autorité de première instance est donc invitée à prononcer son admission provisoire.</w:t>
      </w:r>
    </w:p>
    <w:p>
      <w:r>
        <w:rPr>
          <w:b/>
        </w:rPr>
        <w:t>E. 8.1</w:t>
      </w:r>
    </w:p>
    <w:p>
      <w:r>
        <w:t>Le recourant étant partiellement débouté, des frais réduits de moitié sont mis à sa charge (art. 63 al. 1 PA). En conséquence, la moitié de l'avance de frais déjà versée lui sera restituée.</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 En l'absence de note de frais complète, le Tribunal fixe les dépens sur la base du dossier (art. 14 al. 1 et 2 du règlement du 21 février 2008 concernant les frais, dépens et indemnités fixés par le Tribunal administratif fédéral [FITAF, RS 173.320.2]).</w:t>
      </w:r>
    </w:p>
    <w:p>
      <w:r>
        <w:rPr>
          <w:b/>
        </w:rPr>
        <w:t>E. 8.3</w:t>
      </w:r>
    </w:p>
    <w:p>
      <w:r>
        <w:t>Le tarif horaire est dans la règle de 200 à 400 francs pour les avocats, et de 100 à 300 francs pour les représentants n'exerçant pas la profession d'avocat. Seuls les frais nécessaires sont indemnisés (art. 8 al. 2 FITAF). En l'espèce, le Tribunal considère que le temps de travail nécessité par la procédure de recours est de six heures (au tarif horaire de 300 francs), d'où des frais se montant à 1800 francs, TVA comprise. Le recours étant partiellement admis, les dépens sont arrêtés à la moitié de cette somme, soit 900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