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E-284/2008 vom 29. März 2011</w:t>
      </w:r>
    </w:p>
    <w:p>
      <w:r>
        <w:t>Bundesverwaltungsgericht, 2011-03-29, DE</w:t>
      </w:r>
    </w:p>
    <w:p>
      <w:r>
        <w:rPr>
          <w:b/>
        </w:rPr>
        <w:t xml:space="preserve">Quelle: </w:t>
      </w:r>
      <w:r>
        <w:t>https://mcp.opencaselaw.ch/entscheid/bvger_E-284_2008</w:t>
      </w:r>
    </w:p>
    <w:p>
      <w:r>
        <w:t>FR: TAF E-284/2008 du 29 mars 2011</w:t>
      </w:r>
    </w:p>
    <w:p>
      <w:r>
        <w:t>IT: TAF E-284/2008 del 29 marzo 2011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des Verwaltungsgerichtsgesetzes vom 17. Ju­ni 2005 (VGG, SR 173.32) beurteilt das Bundesverwaltungs­gericht Beschwerden gegen Verfügungen nach Art. 5 VwVG. Das BFM gehört zu den Behörden nach Art. 33 VGG und ist daher eine Vor­instanz des Bundesverwaltungs­gerichts. Eine das Sachgebiet be­treffende Aus­nahme im Sinne von Art. 32 VGG liegt nicht vor. Das Bundesverwal­tungsgericht ist daher zu­stän­dig für die Beurteilung der vor­liegenden Beschwerde; es entscheidet im Bereich des Ausländer­rechts betref­fend vorläufige Aufnahme endgültig (Art. 83 Bst. c Ziff. 3 des Bundes­gerichtsgesetzes vom 17. Juni 2005 [BGG, SR 173.110]).</w:t>
      </w:r>
    </w:p>
    <w:p>
      <w:r>
        <w:rPr>
          <w:b/>
        </w:rPr>
        <w:t>E. 1.2</w:t>
      </w:r>
    </w:p>
    <w:p>
      <w:r>
        <w:t>Die Beschwerde ist frist- und formgerecht eingereicht; der Be­schwer­de­führer hat am Verfahren vor der Vorinstanz teilgenommen, ist durch die an­ge­fochtene Verfügung besonders berührt, hat ein schutzwürdiges Inte­res­se an deren Aufhebung beziehungsweise Än­derung und ist daher zur Ein­reichung der Beschwerde legitimiert (Art. 112 Abs. 1 des Bundes­ge­set­zes vom 16. Dezember 2005 über die Ausländerinnen und Ausländer [AuG, SR 142.20] i.V.m. Art. 48 Abs. 1, Art. 50 Abs. 1 und Art. 52 VwVG). Auf die Beschwerde ist ein­zutreten.</w:t>
      </w:r>
    </w:p>
    <w:p>
      <w:r>
        <w:rPr>
          <w:b/>
        </w:rPr>
        <w:t>E. 2</w:t>
      </w:r>
    </w:p>
    <w:p>
      <w:r>
        <w:t>Mit Beschwerde kann die Verletzung von Bundesrecht, die unrichtige oder unvollständige Feststellung des rechtserheblichen Sachverhalts und die Unangemessenheit gerügt werden (Art. 112 Abs. 1 AuG i.V.m. Art. 49 VwVG).</w:t>
      </w:r>
    </w:p>
    <w:p>
      <w:r>
        <w:rPr>
          <w:b/>
        </w:rPr>
        <w:t>E. 3</w:t>
      </w:r>
    </w:p>
    <w:p>
      <w:r>
        <w:t>Gegenstand der vorliegenden Beschwerde ist die Frage, ob die Vorin­stanz die vorläufige Aufnahme des Be­schwerdeführers mit Ver­fügung vom 14. Dezember 2007 zu Recht aufgehoben hat. Die Voraussetzungen für die Auf­hebung der vor­läufigen Aufnahme wer­den seit dem 1. Januar 2008 in Art. 84 Abs. 2 AuG umschrieben. Davor wurde die vorläufige Auf­nahme durch das Bundesgesetz vom 26. März 1931 über Aufenthalt und Niederlas­sung der Ausländer (ANAG) geregelt, das zeitgleich mit dem Inkrafttreten des AuG aufgehoben wurde (vgl. Art. 125 AuG i.V.m. Ziff. I Anhang 2 zum AuG). Gemäss Art. 126a Abs. 4 AuG gilt - unter Vor­behalt der Absätze 5-7 - für Personen, die im Zeit­punkt des In­krafttretens der am 16. Dezember 2005 be­schlossenen Än­de­rung des Asyl­gesetzes vom 26. Juni 1998 [AsylG, SR 142.31] sowie des AuG vor­läufig auf­genommen waren, das neue Recht. Nachdem der Be­schwer­deführer vom BFM mit Verfügung vom 20. Dezember 2005 vor­läu­fig aufgenommen worden war, ist auf­grund der erwähnten übergangs­recht­li­chen Regelung das Vorliegen der Vor­aussetzungen für die Auf­he­bung der vorläufigen Aufnahme nach neu­em Recht zu prüfen.</w:t>
      </w:r>
    </w:p>
    <w:p>
      <w:r>
        <w:rPr>
          <w:b/>
        </w:rPr>
        <w:t>E. 4</w:t>
      </w:r>
    </w:p>
    <w:p>
      <w:r>
        <w:t>Wurde eine ausländische Person in der Schweiz vorläufig aufgenom­men, überprüft das BFM periodisch, ob im konkreten Fall die Vor­aussetzungen für eine vorläufige Aufnahme noch gegeben sind (Art. 84 Abs. 1 AuG). Das BFM hebt die vorläufige Auf­nahme auf und ordnet den Vollzug der Weg- oder Aus­weisung an, wenn die Voraus­setzungen nicht mehr ge­ge­ben sind (Art. 84 Abs. 2 AuG). Die Voraus­setzungen für die vorläufige Auf­nahme sind nicht mehr gegeben, wenn der Vollzug der rechtskräftig ange­ord­neten Weg­weisung zulässig (Art. 83 Abs. 3 AuG) und es der ausländi­schen Per­son zumutbar (Art. 83 Abs. 4 AuG) und möglich ist (Art. 83 Abs. 2 AuG), sich rechtmässig in ihren Heimat-, in den Herkunfts­staat oder in ei­nen Drittstaat zu bege­ben. Zu prüfen ist im vorliegenden Beschwerdeverfahren demnach, ob das BFM den Wegweisungsvollzug zu Recht als zulässig, zumutbar und mög­lich erklärt hat. Beim Geltendmachen von Wegweisungshinder­nissen gilt ge­mäss ständiger Praxis des Bundesverwaltungsgerichts und der vor­mals zuständigen ARK der glei­che Beweisstandard wie bei der Flücht­lings­eigenschaft, das heisst, sie sind zu beweisen, wenn der strikte Be­weis möglich ist, und an­dernfalls wenigstens glaubhaft zu machen (vgl. Walter Stöckli, Asyl, in: Uebersax/Rudin/Hugi Yar/Geiser, Ausländer­recht, 2. Auflage, Basel 2009, Rz. 11.148).</w:t>
      </w:r>
    </w:p>
    <w:p>
      <w:r>
        <w:rPr>
          <w:b/>
        </w:rPr>
        <w:t>E. 5</w:t>
      </w:r>
    </w:p>
    <w:p>
      <w:r>
        <w:t>Das BFM hatte die ursprünglich geltend gemachten Asylgründe in der ne­ga­tiven Asylverfügung vom 7. Februar 2005 mit überzeugender Be­grün­dung als unglaubhaft qualifiziert, der der Beschwerdeführer in sei­nem Rechtsmittel vom 10. März 2005 nichts Stichhaltiges ent­gegen­zu­setzen vermochte. Bezeichnenderweise wurde die Be­schwerde nach der wie­dererwägungsweisen Anordnung einer vorläu­figen Aufnahme im Asyl­punkt zurückgezogen.</w:t>
      </w:r>
    </w:p>
    <w:p>
      <w:r>
        <w:rPr>
          <w:b/>
        </w:rPr>
        <w:t>E. 6</w:t>
      </w:r>
    </w:p>
    <w:p>
      <w:r>
        <w:t>Ist der Vollzug der Wegweisung nicht zulässig, nicht zumutbar oder nicht mög­lich, regelt das Bundesamt das Anwesenheitsverhältnis nach den ge­setz­lichen Bestimmungen über die vorläufige Aufnahme von Aus­län­dern (Art. 44 Abs. 2 AsylG; Art. 83 Abs. 1 AuG). Die erwähnten drei Bedingungen für einen Verzicht auf den Vollzug der Weg­weisung (Unzulässigkeit, Unzumutbarkeit und Unmöglichkeit) sind al­ter­nativer Natur: Sobald eine von ihnen erfüllt ist, ist der Vollzug der Weg­weisung als undurchführbar zu betrachten und die weitere An­we­sen­heit in der Schweiz gemäss den Bestimmungen über die vorläufige Auf­nahme zu regeln (vgl. BVGE 2009/51 E. 5.4 S. 748). Wie den nach­fol­gen­den Erwägungen zu entnehmen ist, erweist sich der Vollzug der Weg­wei­sung vorlie­gend als unzulässig. Damit kann praxisgemäss auf eine Er­örterung der beiden andern Voraus­setzungen eines rechtmäs­si­gen Weg­weisungsvollzugs verzichtet werden.</w:t>
      </w:r>
    </w:p>
    <w:p>
      <w:r>
        <w:rPr>
          <w:b/>
        </w:rPr>
        <w:t>E. 7</w:t>
      </w:r>
    </w:p>
    <w:p>
      <w:r>
        <w:t>Der Vollzug ist nicht zulässig, wenn völkerrechtliche Verpflichtungen der Schweiz einer Weiterreise der Ausländerin oder des Ausländers in den Heimat-, Herkunfts- oder in einen Drittstaat entgegenstehen (Art. 83 Abs. 3 AuG).</w:t>
      </w:r>
    </w:p>
    <w:p>
      <w:r>
        <w:rPr>
          <w:b/>
        </w:rPr>
        <w:t>E. 7.1</w:t>
      </w:r>
    </w:p>
    <w:p>
      <w:r>
        <w:t>Gemäss Art. 8 Abs. 1 EMRK hat jede Person das Recht auf Achtung ihres Privat- und Familienlebens. Anspruch auf Erteilung bezie­hungs­weise Verlängerung einer Aufenthaltsbewilligung gestützt auf Bundes­recht haben namentlich ausländische Ehegatten und minderjährige Kinder von Schweizerinnen und Schweizern, wenn sie mit diesen zusam­men­wohnen (Art. 42 Abs. 1 AuG). Nach Lehre und Praxis sind Kon­ku­bi­nats­partner den Ehegatten diesbezüglich gleichgestellt (vgl. etwa BVGE 2008/47 E. 4.4.1 S. 677).</w:t>
      </w:r>
    </w:p>
    <w:p>
      <w:r>
        <w:rPr>
          <w:b/>
        </w:rPr>
        <w:t>E. 7.2</w:t>
      </w:r>
    </w:p>
    <w:p>
      <w:r>
        <w:t>Nach Durchsicht der Akten ist in diesem Zusammengang Folgendes festzuhalten:</w:t>
      </w:r>
    </w:p>
    <w:p>
      <w:r>
        <w:rPr>
          <w:b/>
        </w:rPr>
        <w:t>E. 7.2.1</w:t>
      </w:r>
    </w:p>
    <w:p>
      <w:r>
        <w:t>Erstens wird in der Eingabe vom 10. Januar 2011 mit aussage­kräftigen Beweismitteln belegt, dass der Beschwerdeführer rund ein Jahr nach seiner Einreise in die Schweiz eine Liebes­be­zie­hung zu einer Schweizerin eingegangen ist. Den eingereichten Dokumenten zufolge lebt er seit sechs Jahren zumindest faktisch (sein Ge­such vom 16. Januar 2010, dem Wohnkanton seiner Partnerin auch for­mell zugeteilt zu werden, blieb ohne Erfolg) mit ihr im Kanton D._______. Einer Be­stätigung des zu­ständigen Zivilstandsamts ist zu entnehmen, dass ein im letzten Jahr ein­geleitetes Eheschliessungsverfahren an den fehlenden Iden­titäts­doku­men­ten des Bräutigams scheiterte. Gemäss Akten ist von einer eheähnlichen Konkubinatsbeziehung des Be­schwer­deführers mit seiner Schweizer Partnerin auszugehen.</w:t>
      </w:r>
    </w:p>
    <w:p>
      <w:r>
        <w:rPr>
          <w:b/>
        </w:rPr>
        <w:t>E. 7.2.2</w:t>
      </w:r>
    </w:p>
    <w:p>
      <w:r>
        <w:t>Zweitens ist festzustellen, dass der formal zuständige Aufenthalts­kanton zwar wiederholt mit Gesuchen des Beschwerdeführers um Er­tei­lung einer Aufenthaltsbewilligung konfrontiert war und diese allesamt (formlos) ab­schlägig beantwortet hat (vgl. Bst. I der Sachverhalts­dar­stellung). Soweit den Akten zu entnehmen ist, handelte es sich indessen offen­sichtlich aus­nahmslos um - mit überdurchschnittlich guter Integra­tion in der Schweiz begründete - Gesuche um Erteilung einer Auf­ent­halts­bewilligung aus hu­manitären Gründen (gemäss Art. 14 Abs. 2 AsylG respektive Art. 84 Abs. 5 AuG); jedenfalls hatte sich der Aufenthaltskanton bisher offenbar nie mit den aufenthaltsrechtlichen Konsequenzen der eheähnlichen Be­zie­hung des Beschwerdeführers zu einer Schweizerin zu befassen. So­weit bekannt, ist derzeit kein weiteres Gesuchs­ver­fahren des Be­schwer­de­führers bei den zuständigen kantonalen Stellen hängig.</w:t>
      </w:r>
    </w:p>
    <w:p>
      <w:r>
        <w:rPr>
          <w:b/>
        </w:rPr>
        <w:t>E. 7.2.3</w:t>
      </w:r>
    </w:p>
    <w:p>
      <w:r>
        <w:t>Im Rahmen des vorliegenden Beschwerdeverfahren ist die Aufhebung der vorläufigen Aufnahme des Rekurrenten und damit die Frage des Vorliegens von Wegweisungsvollzugshindernissen zu prüfen; demgegenüber kann die Rechtsmässigkeit der vom BFM am 7. Februar 2005 angeordneten - am 24. Februar 2006 in Rechtskraft erwachsenen - Wegweisungsverfügung hier nicht materiell beurteilt werden.</w:t>
      </w:r>
    </w:p>
    <w:p>
      <w:r>
        <w:rPr>
          <w:b/>
        </w:rPr>
        <w:t>E. 7.3</w:t>
      </w:r>
    </w:p>
    <w:p>
      <w:r>
        <w:t>Die eheähnlicher Beziehung des Beschwerdeführers mit einer Schweizer Bürgerin untersteht, wie oben dargelegt, dem Schutzbereich von Art. 8 Abs. 1 EMRK.</w:t>
      </w:r>
    </w:p>
    <w:p>
      <w:r>
        <w:rPr>
          <w:b/>
        </w:rPr>
        <w:t>E. 7.3.1</w:t>
      </w:r>
    </w:p>
    <w:p>
      <w:r>
        <w:t>Eine Behörde darf in die Ausübung des Menschenrechts auf Schutz des Familienlebens gemäss Art. 8 Abs. 2 EMRK nur eingreifen, soweit der Ein­griff gesetzlich vorgesehen und in einer demokratischen Gesellschaft not­wendig ist für die nationale oder öffentliche Sicherheit, für das wirt­schaf­tliche Wohl des Landes, zur Aufrechterhaltung der Ordnung, zur Ver­hü­tung von Straftaten, zum Schutz der Gesundheit oder der Moral oder zum Schutz der Rechte und Freiheiten anderer.</w:t>
      </w:r>
    </w:p>
    <w:p>
      <w:r>
        <w:rPr>
          <w:b/>
        </w:rPr>
        <w:t>E. 7.3.2</w:t>
      </w:r>
    </w:p>
    <w:p>
      <w:r>
        <w:t>Die Anordnung des Vollzugs einer in Rechtskraft erwachsenen Weg­wei­sung würde zwar bei nachträglichem Wegfall eines zuvor beste­henden Vollzugshindernisses (der Unzumutbarkeit der Rückkehr in den Heimatstaat wegen der allgemeinen Sicherheitslage) an sich auf einem legitimen Zweck staatlichen Handelns - der Ausreiseverpflichtung abgewiesener Asyl­suchender ohne gültigen Aufenthaltstitel - beruhen und könnte auf die entspre­chenden ausländerrechtlichen Gesetzesgrund­lagen abgestützt werden. Bei der Beurteilung der Verhältnismässigkeit des Eingriffs gemäss Art. 8 Abs. 2 EMRK würden diesen öffentlichen In­te­ressen vorliegend die gewichtigen privaten Interessen des Beschwerde­führers entgegenstehen, die langjährige eheähnliche Beziehung zu seiner Schweizer Partnerin weiterführen zu können, zumal es dieser offensicht­lich nicht zuzumuten wäre, mit ihm in den Nordteil des Iraks auszu­wan­dern (vgl. hierzu etwa BGE 126 II 425 E. 5).</w:t>
      </w:r>
    </w:p>
    <w:p>
      <w:r>
        <w:rPr>
          <w:b/>
        </w:rPr>
        <w:t>E. 7.3.3</w:t>
      </w:r>
    </w:p>
    <w:p>
      <w:r>
        <w:t>In diesem Zusammenhang ist überdies festzuhalten, dass sich der Beschwerdeführer gemäss Akten in der Schweiz offenbar gut integriert hat. Er ist seit August 2006 ununterbrochen als angestellter E._______ tätig; die eingereichten Zwischenzeugnisse des Ar­beitgebers sind ausgezeich­net. Alle zehn zu den Akten gereichten Re­fe­renzschreiben - die Namen der Ver­fas­ser deuten je hälftig auf Personen schweizerischer und auslän­di­scher Her­kunft hin - bestätigen unter an­de­rem die Integra­ti­on des Be­schwer­deführers und seine guten Deutsch­kenntnisse; diese hat er sich offen­bar un­ter anderem mit dem Besuch eines privaten Sprach­kur­ses und im Um­gang mit Deutsch­sprachigen erworben hat.</w:t>
      </w:r>
    </w:p>
    <w:p>
      <w:r>
        <w:rPr>
          <w:b/>
        </w:rPr>
        <w:t>E. 7.3.4</w:t>
      </w:r>
    </w:p>
    <w:p>
      <w:r>
        <w:t>Auf der andern Seite trüben die beiden rechtskräftigen straf­recht­lichen Verurteilungen in der Schweiz das positive Bild: Der Beschwerde­führer war mit Strafbefehlen vom (...) 2007 wegen Fälschung von Aus­wei­sen und Fahren ohne Führerausweis und vom (...) 2009 wegen gro­ber Verletzung von Strassenverkehrsregeln zu bedingten Geld­strafen und einer Busse verurteilt worden. Das erste Strafverfahren war ein­ge­lei­tet worden, weil der Beschwerdeführer gelegentlich das Fahrzeug seines Ar­beit­gebers benutzt und sein irakischer Führerschein sich gemäss Fest­stel­lung der Staatsanwaltschaft C._______ als nicht authentisch herausgestellt hat­te. Zur zweiten Verurteilung kam es, nachdem der Be­schwerdeführer durch nichtangepasste Geschwindigkeit auf feuchter Fahrbahn einen Un­fall mit Sachschaden verursacht hatte. Ohne die vom Beschwerdeführer begangenen Delikte aus dem wei­teren Bereich des Strassenverkehrsrechts zu bagatellisieren, kann bei objek­ti­ver Betrachtung immerhin festgehalten werden, dass die konkreten Tat­hand­lungen nicht auf besondere kriminelle Ener­gie schliessen lassen. Bei Durchsicht der Strafmandate fällt zudem auf, dass die ausgefällten Geld­strafen beide Male bedingt ausgesprochen wor­den sind. Bei der zweiten Verurteilung wurde der Widerruf der be­ding­ten Erststrafe geprüft und verworfen, hingegen eine Verwarnung des Be­schwer­deführers ausge­sprochen. Diese scheint jedenfalls insofern ge­nützt zu haben, als sich der Beschwerdeführer seither offenbar nichts mehr hat zuschulden kommen lassen.</w:t>
      </w:r>
    </w:p>
    <w:p>
      <w:r>
        <w:rPr>
          <w:b/>
        </w:rPr>
        <w:t>E. 7.3.5</w:t>
      </w:r>
    </w:p>
    <w:p>
      <w:r>
        <w:t>Unter Würdigung aller aktenkundigen Umstände erachtet das Gericht den durch die Anordnung des Wegweisungsvollzugs erfolgenden Eingriff in das Menschenrecht des Beschwerdeführers auf Schutz seines Familienlebens gemäss Art. 8 EMRK als unverhältnismässig.</w:t>
      </w:r>
    </w:p>
    <w:p>
      <w:r>
        <w:rPr>
          <w:b/>
        </w:rPr>
        <w:t>E. 8</w:t>
      </w:r>
    </w:p>
    <w:p>
      <w:r>
        <w:t>Der Vollzug der Wegweisung des Beschwerdeführers erweist sich damit als völkerrechtlich unzulässig. Bei dieser Sachlage kann die Frage offen bleiben, ob der Vollzug der Weg­weisung in den Heimatstaat heute - im Sinn einer Gefährdung ge­mäss Art. 83 Abs. 4 AuG oder einer so genannt reziproken Wirkung der offenbar fortgeschrittenen Integration des Beschwerdeführers (vgl. BVGE 2009/51 E. 5.6 mit weiteren Hin­weisen) - weiterhin unzumutbar wäre. Die Wegweisung des Beschwerdeführers erweist sich demnach weiterhin als undurchführbar. Seine vorläufige Aufnahme ist deshalb zu bestätigen.</w:t>
      </w:r>
    </w:p>
    <w:p>
      <w:r>
        <w:rPr>
          <w:b/>
        </w:rPr>
        <w:t>E. 9</w:t>
      </w:r>
    </w:p>
    <w:p>
      <w:r>
        <w:t>Die Be­schwer­de ist gutzuheissen. Die angefochtene Verfügung, mit der die vorläufige Aufnahme widerrufen worden war, ist aufzuheben.</w:t>
      </w:r>
    </w:p>
    <w:p>
      <w:r>
        <w:rPr>
          <w:b/>
        </w:rPr>
        <w:t>E. 10.1</w:t>
      </w:r>
    </w:p>
    <w:p>
      <w:r>
        <w:t>Dem Beschwerdeführer steht eine Entschädigung gemäss Art. 64 Abs. 1 VwVG für seine Parteikosten zu. Nachdem sein Rechts­vertreter kei­ne Kostennote eingereicht worden ist, ist die Partei­entschä­di­gung auf­grund der Akten von Amtes wegen auf insgesamt Fr. 1 200.- (inklusive al­ler Auslagen und Nebenkosten) festzusetzen (vgl. Art. 14 des Reglements vom 21. Februar 2008 über die Kosten und Entschädigungen vor dem Bun­des­verwaltungsgericht [VGKE, SR 173.320.2]).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