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E-2847/2020 vom 29. Juli 2020</w:t>
      </w:r>
    </w:p>
    <w:p>
      <w:r>
        <w:t>Bundesverwaltungsgericht, 2020-07-29, DE</w:t>
      </w:r>
    </w:p>
    <w:p>
      <w:r>
        <w:rPr>
          <w:b/>
        </w:rPr>
        <w:t xml:space="preserve">Quelle: </w:t>
      </w:r>
      <w:r>
        <w:t>https://mcp.opencaselaw.ch/entscheid/bvger_E-2847_2020</w:t>
      </w:r>
    </w:p>
    <w:p>
      <w:r>
        <w:t>FR: TAF E-2847/2020 du 29 juillet 2020</w:t>
      </w:r>
    </w:p>
    <w:p>
      <w:r>
        <w:t>IT: TAF E-2847/2020 del 29 luglio 2020</w:t>
      </w:r>
    </w:p>
    <w:p>
      <w:pPr>
        <w:pStyle w:val="Heading2"/>
      </w:pPr>
      <w:r>
        <w:t>Regeste</w:t>
      </w:r>
    </w:p>
    <w:p>
      <w:r>
        <w:t>Asyl und Wegweisung</w:t>
      </w:r>
    </w:p>
    <w:p>
      <w:pPr>
        <w:pStyle w:val="Heading2"/>
      </w:pPr>
      <w:r>
        <w:t>Erwägungen</w:t>
      </w:r>
    </w:p>
    <w:p>
      <w:r>
        <w:rPr>
          <w:b/>
        </w:rPr>
        <w:t>E. 1</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gelangt in der angefochtenen Verfügung zum Schluss, die Vorbringen des Beschwerdeführers hielten weder den Anforderungen an das Glaubhaftmachen gemäss Art. 7 AsylG noch jenen an die Flüchtlingseigenschaft nach Art. 3 AsylG stand.</w:t>
      </w:r>
    </w:p>
    <w:p>
      <w:r>
        <w:rPr>
          <w:b/>
        </w:rPr>
        <w:t>E. 6.2</w:t>
      </w:r>
    </w:p>
    <w:p>
      <w:r>
        <w:t>Zur Glaubhaftigkeit führt die Vorinstanz aus, die Aussagen des Beschwerdeführers zur LTTE-Vergangenheit des (...) seien spärlich gewesen. Er habe lediglich angegeben, dieser sei beim (...) gewesen und habe mit Waffen zu tun gehabt. Die Erklärung, sein (...) habe nicht gerne über die Zeit bei den LTTE gesprochen und ihn zur Konzentration auf die Ausbildung aufgefordert, sei als Schutzbehauptung zu werten. Es sei nicht vorstellbar, dass er über den (...) Jahre dauernden Einsatz des (...) für die LTTE nicht mehr erzählen könne. Auch auf die Frage zur Rehabilitation des (...) sei er nicht eingegangen. Erstaunlich sei, dass der (...) sich nach der Rückkehr keine Sorgen gemacht habe und glücklich gewesen sei. Zum Vorfall am (...) März 2013 habe er lediglich ausgeführt, Personen in Zivilkleidung hätten ihre Ausweise gezeigt und den (...) mitgenommen. Auf Nachfrage habe er einzig hinzugefügt, diese Personen seien bewaffnet gewesen und hätten sich vergewissert, ob es sich tatsächlich um seinen (...) gehandelt habe. Sein (...) sei ohne Angst mitgegangen und habe gesagt, sie sollten sich keine Sorgen machen. Die oberflächlichen Schilderungen des Beschwerdeführers beinhalteten wenig Realkennzeichen. Auch zu den Umständen, als die Leiche des (...) ins Haus gebracht worden sei, habe er auf Nachfrage hin im Wesentlichen das bereits Gesagte wiederholt und keine erlebnisbasierten Details hinzugefügt. Weiter sei nicht nachvollziehbar, weshalb er nicht wisse, woran sein (...) eigentlich gestorben sei, zumal im Todesregister vermerkt sei, er sei durch (...) gestorben. Die diesbezüglichen Ausführungen des Beschwerdeführers enthielten kaum Realkennzeichen. Zwar habe er Tränen in den Augen gehabt, was aber nichts daran ändere, dass die Aussagen zu diesem Erlebnis oberflächlich und stereotyp ausgefallen seien. Darüber hinaus habe er trotz Nachfrage oberflächlich zur Anzeigeerstattung berichtet. Es sei unüblich, dass die Anzeige nicht mit einem entsprechenden Dokument bestätigt worden sei. Sodann habe er den Besuch der Beamten nicht ausführlich beschrieben. Auch auf Nachfrage habe er lediglich gesagt, seine Mutter habe ihm mitgeteilt, er hätte wie von ihr geraten nichts bei den Behörden unternehmen sollen. Vor diesem Hintergrund sei eine Suche nach dem Beschwerdeführer durch die Behörden nach der Ausreise auszuschliessen. Der eingereichte Auszug aus dem Todesregister bestätige die geltend gemachte Verfolgung nicht.</w:t>
      </w:r>
    </w:p>
    <w:p>
      <w:r>
        <w:rPr>
          <w:b/>
        </w:rPr>
        <w:t>E. 6.3</w:t>
      </w:r>
    </w:p>
    <w:p>
      <w:r>
        <w:t>Weiter gelte zu prüfen, ob der Beschwerdeführer trotz der unglaubhaften Vorbringen im Falle der Rückkehr begründete Furcht vor künftigen Verfolgungsmassnahmen im Sinne von Art. 3 AsylG habe. Diese Prüfung sei gemäss dem Referenzurteil des Bundesverwaltungsgerichts E-1866/2015 vom 15. Juli 2016 anhand von Risikofaktoren vorzunehmen. Rückkehrer, die illegal ausgereist seien, über keine gültigen Identitätsdokumente verfügten, im Ausland ein Asylverfahren durchlaufen hätten oder behördlich gesucht würden, würden am Flughafen zu ihrem Hintergrund befragt. Diese Befragung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Diese Kontrollmassnahmen nähmen grundsätzlich kein asylrelevantes Ausmass an. Der Beschwerdeführer habe nicht glaubhaft gemacht, vor der Ausreise asylrelevanten Massnahmen ausgesetzt gewesen zu sein. Vielmehr sei der er bis Februar 2016 in Sri Lanka wohnhaft gewesen, mithin seit Kriegsende noch über sechs Jahre. Allfällige, im Zeitpunkt der Ausreise bestehende Risikofaktoren hätten folglich kein Verfolgungsinteresse seitens der sri-lankischen Behörden auszulösen vermocht. Aufgrund der Aktenlage sei nicht ersichtlich, weshalb er bei einer Rückkehr in Sri Lanka in asylrelevanter Weise verfolgt werden sollte.</w:t>
      </w:r>
    </w:p>
    <w:p>
      <w:r>
        <w:rPr>
          <w:b/>
        </w:rPr>
        <w:t>E. 6.4</w:t>
      </w:r>
    </w:p>
    <w:p>
      <w:r>
        <w:t>Auch die am 16. November 2019 erfolgte Präsidentschaftswahl mit dem Sieg von Gotabaya Rajapakse vermöge diese Einschätzung nicht umstossen. Mit dessen Wahl zum Präsidenten sowie ersten Anzeichen zunehmender Überwachungsaktivitäten gingen Befürchtungen von mehr Einschüchterungen von Menschenrechtsaktivisten, Journalisten, Oppositionellen, Regierungskritikern und Minderheiten einher. Tatsächlich habe die Überwachung der Zivilbevölkerung seit den dschihadistisch motivierten Terroranschlägen an Ostern 2019 und nochmals nach der Präsidentschaftswahl zugenommen. Dennoch bestehe zum jetzigen Zeitpunkt kein Anlass zur Annahme, ganze Volksgruppen seien kollektiv einer Verfolgungsgefahr ausgesetzt. Voraussetzung für die Annahme einer Verfolgungsgefahr aufgrund der Präsidentschaftswahlen vom 16. November 2019 sei ein persönlicher Bezug der asylsuchenden Person zu diesem Ereignis respektive dessen Folgen. Ein solcher sei vorliegend nicht gegeben.</w:t>
      </w:r>
    </w:p>
    <w:p>
      <w:r>
        <w:rPr>
          <w:b/>
        </w:rPr>
        <w:t>E. 7.1</w:t>
      </w:r>
    </w:p>
    <w:p>
      <w:r>
        <w:t>Der Beschwerdeführer rügt in der Rechtsmitteleingabe eine Verletzung von Art. 7 AsylG sowie Art. 3. AsylG. Entgegen der Ansicht der Vorinstanz habe er die Verfolgung glaubhaft dargelegt und erfülle die Voraussetzungen zur Anerkennung als Flüchtling. Als fluchtauslösendes Ereignis macht der Beschwerdeführer die Suche des (...) nach erfolgter Anzeigeerstattung auf dem Polizeiposten im Februar 2016 wegen des Todes des (...) im Jahr 2013 geltend. Der Beschwerdeführer hält in der Rechtsmitteleingabe daran fest, die diesbezüglichen Ausführungen seien glaubhaft gewesen. Damit vermag er allerdings keine Bundesrechtsverletzung durch die Vorinstanz darzutun. Wie in der Beschwerde festgehalten, äusserte sich der Beschwerdeführer anlässlich der Anhörung zum Ablauf auf dem Polizeiposten. Seine diesbezüglichen Schilderungen wirken aber schematisch sowie oberflächlich und lassen die nötige Substantiiertheit, Originalität und Präzision für die Annahme der Glaubhaftigkeit der Verfolgungsvorbringen im Sinne der bundesverwaltungsgerichtlichen Rechtsprechung vermissen (vgl. BVGE 2015/3 E. 6.5.1 m.w.H.). Er berichtete mehrmals gleichlautend und ohne Konkretisierungen oder spezifische Einzelheiten zur Situation auf dem Polizeiposten (vgl. SEM-Akte A4/11 Ziff. 7.01 S. 7 sowie A13/13 F23, F46). Entgegen der Darstellung in der Beschwerde gab der Beschwerdeführer anlässlich der Anhörung nicht an, er sei bei der Polizei abgeblitzt, sondern der Polizist habe ihm gesagt, er solle nach Hause gehen, sie würden weitere Schritte vornehmen (vgl. SEM-Akte A13/13 F23 S. 5, F46). Sodann trifft zwar zu, dass der Beschwerdeführer bei der Anhörung zu Protokoll gab, im Zeitpunkt der Suche durch die Angehörigen des (...) nicht zu Hause gewesen zu sein und lediglich telefonisch von seiner Mutter davon erfahren zu haben. Trotzdem wären in Bezug auf das Telefonat mit seiner Mutter substantiiertere Antworten zu erwarten gewesen. Die Angaben hierzu wirken aber ebenfalls schematisch (vgl. SEM-Akte A4/11 Ziff. 7.01 S. 7 und A13/13 F23, F49). Insbesondere sind auch die von ihm aufgeführten Gedankengänge während des Gesprächs mit der Mutter oberflächlich ausgefallen (vgl. a.a.O. F50 f.). Dem Beschwerdeführer gelingt es mit seinen Ausführungen in der Rechtsmitteleingabe insgesamt nicht, darzulegen, inwiefern die Vorinstanz die Vorbringen im Zusammenhang mit der Anzeige zu Unrecht als unglaubhaft befunden hat.</w:t>
      </w:r>
    </w:p>
    <w:p>
      <w:r>
        <w:rPr>
          <w:b/>
        </w:rPr>
        <w:t>E. 7.2.1</w:t>
      </w:r>
    </w:p>
    <w:p>
      <w:r>
        <w:t>Bei der Beurteilung der Asylgründe ist das Bundesverwaltungsgericht nicht an die Begründung der Vorinstanz gebunden ist (Art. 62 Abs. 4 VwVG); es kann die Beschwerde auch aus anderen Überlegungen als jenen der Vorinstanz abweisen (sog. Motivsubstitution vgl. Madeleine Camprubi in: Auer/Müller/Schindler [Hrsg.], Kommentar zum Bundesgesetz über das Verwaltungsverfahren, 2. Aufl. 2019, N. 16 zu Art. 62 VwVG Kölz/Häner/Bertschi, Verwaltungsverfahren und Verwaltungsrechtspflege des Bundes, 3. Aufl. 2013, S. 398, Rz. 1136).</w:t>
      </w:r>
    </w:p>
    <w:p>
      <w:r>
        <w:rPr>
          <w:b/>
        </w:rPr>
        <w:t>E. 7.2.2</w:t>
      </w:r>
    </w:p>
    <w:p>
      <w:r>
        <w:t>Die Vorinstanz hält die Vorbringen des Beschwerdeführers betreffend die LTTE-Vergangenheit des (...) sowie dessen Todesumstände im Jahr 2013 für unglaubhaft. Unabhängig von der Glaubhaftigkeit erweisen sich diese Sachverhaltselemente als nicht asylrelevant. Einerseits waren diese nicht kausal zur Ausreise des Beschwerdeführers im Februar 2016. Andererseits hat der Beschwerdeführer nicht erwähnt, wegen der Aktivitäten des (...) für die LTTE je Schwierigkeiten mit den sri-lankischen Behörden erhalten zu haben. Auch nach dem Tod des (...) hat er keine Probleme mit den staatlichen Behörden angeführt. Vielmehr machte er erst mit der Suche des (...) nach der Erstattung der Anzeige konkrete persönliche Probleme geltend (vgl. SEM-Akte A4/11 Ziff. 7.01 S. 7), welche, wie vorstehend dargelegt, nicht glaubhaft sind. Vor diesem Hintergrund erübrigt es sich, auf die entsprechenden Ausführungen in der Beschwerde weiter einzugehen.</w:t>
      </w:r>
    </w:p>
    <w:p>
      <w:r>
        <w:rPr>
          <w:b/>
        </w:rPr>
        <w:t>E. 7.3</w:t>
      </w:r>
    </w:p>
    <w:p>
      <w:r>
        <w:t>In Bezug auf Art. 3 AsylG ist vor dem Hintergrund der vorstehenden Darlegungen nicht von einem Risikoprofil des Beschwerdeführers im Sinne des Referenzurteils des Bundesverwaltungsgerichts E-1866/2015 vom 15. Juli 2016 auszugehen. Aus der LTTE-Vergangenheit des (...) sind dem Beschwerdeführer nie Schwierigkeiten entstanden. Er selbst hatte keine Beziehungen zu den LTTE und war auch sonst nicht politisch aktiv. Betreffend die Entwicklungen der allgemeinen politischen Lage in Sri Lanka ist festzustellen, dass nicht erkennbar ist, wie sich diese zum heutigen Zeitpunkt auf den Beschwerdeführer auswirken könnten. Diesbezüglich kann, um Wiederholungen zu vermeiden, auf die vorinstanzlichen Erwägungen verwiesen werden. An dieser Einschätzung ändert die erfolgte Entführung und Verhaftung einer sri-lankischen Mitarbeiterin der Schweizerischen Botschaft in Colombo nichts, da diesbezüglich kein individueller Bezug zum Beschwerdeführer ersichtlich ist. Gemäss Auskunft der Schweizerischen Botschaft sind in diesem Zusammenhang keine Informationen an die sri-lankischen Behörden gelangt, so dass keine Anhaltspunkte auf eine erhöhte Gefährdungssituation vorliegen.</w:t>
      </w:r>
    </w:p>
    <w:p>
      <w:r>
        <w:rPr>
          <w:b/>
        </w:rPr>
        <w:t>E. 7.4</w:t>
      </w:r>
    </w:p>
    <w:p>
      <w:r>
        <w:t>Zusammenfassend ist es dem Beschwerdeführer nicht gelungen, eine Bundesrechtsverletzung durch die Vorinstanz darzutun. Die Vorinstanz hat die Flüchtlingseigenschaft zu Recht verneint und das Asylgesuch des Beschwerdeführers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vorstehend E. 7.4 sowie statt vieler Urteil BVGer E-895/2020 vom 15. April 2020 E. 9.3).</w:t>
      </w:r>
    </w:p>
    <w:p>
      <w:r>
        <w:rPr>
          <w:b/>
        </w:rPr>
        <w:t>E. 9.4.2</w:t>
      </w:r>
    </w:p>
    <w:p>
      <w:r>
        <w:t>Vorliegend sprechen auch keine individuellen Gründe gegen die Zumutbarkeit des Wegweisungsvollzugs. Der Beschwerdeführer ist jung und soweit aktenkundig gesund (vgl. SEM-Akte A13/13 F74). Seine Mutter und seine Geschwister wohnen gemäss seinen Angaben in D._______, Distrikt B._______ (vgl. SEM-Akte A4/11 Ziff. 3.01), mithin verfügt er dort über ein familiäres Beziehungsnetz. Er hat das (...)-Level abgeschlossen und als (...) gearbeitet (vgl. a.a.O. Ziff. 1.17.04). Es ist somit nicht davon auszugehen, dass der Beschwerdeführer bei einer Rückkehr nach Sri Lanka in eine existentielle Notlage geraten wird. Der Vollzug der Wegweisung ist zumutbar.</w:t>
      </w:r>
    </w:p>
    <w:p>
      <w:r>
        <w:rPr>
          <w:b/>
        </w:rPr>
        <w:t>E. 9.5</w:t>
      </w:r>
    </w:p>
    <w:p>
      <w:r>
        <w:t>Der Beschwerdeführer verfügt über eine Identitätskarte und es obliegt ihm, sich bei der zuständigen Vertretung des Heimatstaates weitere für eine Rückkehr notwendigen Reisedokumente zu beschaffen (vgl. Art. 8 Abs. 4 AsylG und dazu auch BVGE 2008/34 E. 12). Der Vollzug der Wegweisung ist auch als möglich zu bezeichnen (Art. 83 Abs. 2 AIG).</w:t>
      </w:r>
    </w:p>
    <w:p>
      <w:r>
        <w:rPr>
          <w:b/>
        </w:rPr>
        <w:t>E. 9.6</w:t>
      </w:r>
    </w:p>
    <w:p>
      <w:r>
        <w:t>Schliesslich steht auch die Covid-19-Pandemie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sowie das Urteil des BVGer D-4796/2019 vom 27. April 2020 E. 8.9 m.w.H.).</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Rechtspflege gemäss Art. 65 Abs. 1 VwVG und unentgeltlichen Verbeiständung gemäss aArt. 110a Abs. 1 AsylG. Aufgrund der vorstehenden Erwägungen ergibt sich, dass seine Begehren als aussichtslos zu gelten haben. Damit ist eine der kumulativ zu erfüllenden Voraussetzungen nicht gegeben, weshalb die Gesuche abzuweisen sind.</w:t>
      </w:r>
    </w:p>
    <w:p>
      <w:r>
        <w:rPr>
          <w:b/>
        </w:rPr>
        <w:t>E. 11.2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w:t>
      </w:r>
    </w:p>
    <w:p>
      <w:r>
        <w:rPr>
          <w:b/>
        </w:rPr>
        <w:t>E. 12</w:t>
      </w:r>
    </w:p>
    <w:p>
      <w:r>
        <w:t>Mit dem vorliegenden Urteil sind die Anträge auf Verzicht auf die Erhebung eines Kostenvorschusses sowie Feststellung der aufschiebenden Wirkung der Beschwerde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