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E-2843/2014 vom 4. Juni 2014</w:t>
      </w:r>
    </w:p>
    <w:p>
      <w:r>
        <w:t>Bundesverwaltungsgericht, 2014-06-04, DE</w:t>
      </w:r>
    </w:p>
    <w:p>
      <w:r>
        <w:rPr>
          <w:b/>
        </w:rPr>
        <w:t xml:space="preserve">Quelle: </w:t>
      </w:r>
      <w:r>
        <w:t>https://mcp.opencaselaw.ch/entscheid/bvger_E-2843_2014</w:t>
      </w:r>
    </w:p>
    <w:p>
      <w:r>
        <w:t>FR: TAF E-2843/2014 du 4 juin 2014</w:t>
      </w:r>
    </w:p>
    <w:p>
      <w:r>
        <w:t>IT: TAF E-2843/2014 del 4 giugno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Der Zeitpunkt der Eröffnung der angefochtenen Verfügung steht mangels Vorliegens einer Empfangsbestätigung nicht fest. Da die Beweislast für die Zustellung an die Partei der eröffnenden Behörde obliegt (vgl. Moser/Beusch/Kneubühler, Prozessieren vor dem Bundesverwaltungsgericht, Basel 2013, 2. Auf. Rz. 2.112, S. 76), ist zugunsten der Beschwerdeführenden davon auszugehen, dass die am 13. Mai 2014 bei der Schweizerischen Botschaft in Colombo eingegangene Beschwerde rechtzeitig erfolgt ist. Die Beschwerdeführenden sind als Verfügungsadressaten zur Beschwerdeführung legitimiert (Art. 48 VwVG). Auf die frist- und formgerecht eingereichte Beschwerde (Art. 108 Abs. 1 AsylG und Art. 52 VwVG) ist einzutreten.</w:t>
      </w:r>
    </w:p>
    <w:p>
      <w:r>
        <w:rPr>
          <w:b/>
        </w:rPr>
        <w:t>E. 1.4</w:t>
      </w:r>
    </w:p>
    <w:p>
      <w:r>
        <w:t>Mit Beschwerde kann die Verletzung von Bundesrecht und die unrichtige oder unvollständige Feststellung des rechtserheblichen Sachverhalts gerügt werden (Art. 106 Abs. 1 AsylG).</w:t>
      </w:r>
    </w:p>
    <w:p>
      <w:r>
        <w:rPr>
          <w:b/>
        </w:rPr>
        <w:t>E. 1.5</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3.1</w:t>
      </w:r>
    </w:p>
    <w:p>
      <w:r>
        <w:t>Ein Asylgesuch kann gemäss Art. 19 Abs. 1 aAsylG im Ausland bei einer Schweizerischen Vertretung gestellt werden, die es mit einem Bericht an das Bundesamt überweist (Art. 20 Abs. 1 aAsylG).</w:t>
      </w:r>
    </w:p>
    <w:p>
      <w:r>
        <w:rPr>
          <w:b/>
        </w:rPr>
        <w:t>E. 3.2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4.1</w:t>
      </w:r>
    </w:p>
    <w:p>
      <w:r>
        <w:t>Die Vorinstanz stellt in der angefochtenen Verfügung fest, die Beschwerdeführenden würden kein Gefährdungsprofil aufweisen, welches im heutigen Zeitpunkt mit erheblicher Wahrscheinlichkeit auf eine Verfolgung seitens des sri-lankischen Staates oder Dritter schliessen liesse. Aufgrund des geltend gemachten Überfalles auf den Beschwerdeführer im Jahr 2007 sowie der Drohungen und Belästigungen seien die Bedenken vor weiteren Übergriffen nachvollziehbar. Indes sei es gemäss den Aussagen der Beschwerdeführenden nach 2008, mithin während der letzten fünf Jahre, nicht zu weiteren Vorkommnissen gekommen. Allfällig erlittenen Bedrohungen und Schikanen durch Sicherheitskräfte oder Dritte komme aufgrund mangelnder Intensität kein Verfolgungscharakter zu. Auch aus dem Umstand, dass Familienangehörige gewaltsam ums Leben gekommen seien, könnten die Beschwerdeführenden mit Blick auf eine Einreisebewilligung nichts zu ihren Gunsten ableiten. Die Vorbringen seien somit nicht einreisebeachtlich.</w:t>
      </w:r>
    </w:p>
    <w:p>
      <w:r>
        <w:rPr>
          <w:b/>
        </w:rPr>
        <w:t>E. 4.2</w:t>
      </w:r>
    </w:p>
    <w:p>
      <w:r>
        <w:t>In der Rechtsmitteleingabe machen die Beschwerdeführenden zur Hauptsache geltend, sie seien Bedrohungen und Misshandlungen ausgesetzt. 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(vgl. dazu im Einzelnen BVGE 2011/24). Die Beschwerdeführenden gehören indes keiner dieser Gruppen an und gemäss ihren eigenen Angaben sind ihnen seit 2008 keine ernsthaften Nachteile im Sinne von Art. 3 AsylG widerfahren. Mit dem blossen Wiederholen ihrer Asylvorbringen sowie dem Anführen des Wunsches ihres Sohnes, in der Schweiz zu leben und zu studieren, legen sie nicht substantiiert dar, inwiefern die Verfügung Bundesrecht verletzen oder aus einen anderen Beschwerdegrund mangelhaft sein soll. Solches ist auch nicht ersichtlich. Den Beschwerdeführenden ist somit ein weiterer Verbleib in Sri Lanka zumutbar und sie sind nicht auf den Schutz der Schweiz angewiesen. Die Vorinstanz hat demnach den Beschwerdeführenden zu Recht die Einreise in die Schweiz nicht bewilligt und die Asylgesuche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