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E-2841/2026 vom 27. April 2026</w:t>
      </w:r>
    </w:p>
    <w:p>
      <w:r>
        <w:t>Bundesverwaltungsgericht, 2026-04-27, DE</w:t>
      </w:r>
    </w:p>
    <w:p>
      <w:r>
        <w:rPr>
          <w:b/>
        </w:rPr>
        <w:t xml:space="preserve">Quelle: </w:t>
      </w:r>
      <w:r>
        <w:t>https://mcp.opencaselaw.ch/entscheid/bvger_E-2841_2026</w:t>
      </w:r>
    </w:p>
    <w:p>
      <w:r>
        <w:t>FR: TAF E-2841/2026 du 27 avril 2026</w:t>
      </w:r>
    </w:p>
    <w:p>
      <w:r>
        <w:t>IT: TAF E-2841/2026 del 27 aprile 2026</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Der Beschwerdeführer ist als Verfügungsadressat zur Beschwerdeführung legitimiert (Art. 48 VwVG).</w:t>
      </w:r>
    </w:p>
    <w:p>
      <w:r>
        <w:rPr>
          <w:b/>
        </w:rPr>
        <w:t>E. 1.3</w:t>
      </w:r>
    </w:p>
    <w:p>
      <w:r>
        <w:t>Die am 22. April 2026 - per E-Mail sowie postalisch - übermittelten Beschwerdeschriften weisen keine (qualifizierte digitale beziehungsweise handschriftliche) Unterschrift des Beschwerdeführers auf. Den Akten sind allerdings keinerlei Hinweise darauf zu entnehmen, dass eine unberechtigte Drittperson diese Beschwerde eingereicht haben könnte. Zudem ist der Absender in der Handschrift des Beschwerdeführers auf dem Couvert der Postsendung vermerkt worden. Unter diesen Umständen kann angesichts der kurzen gesetzlichen Behandlungsfrist (Art. 109 Abs. 3 AsylG) im Interesse des Beschwerdeführers davon abgesehen werden, ihn unter Androhung des Nichteintretens im Säumnisfall zur diesbezüglichen Verbesserung der Beschwerde aufzufordern.</w:t>
      </w:r>
    </w:p>
    <w:p>
      <w:r>
        <w:rPr>
          <w:b/>
        </w:rPr>
        <w:t>E. 1.4</w:t>
      </w:r>
    </w:p>
    <w:p>
      <w:r>
        <w:t>Auf die im Übrigen form- und fristgerechte Beschwerde ist - mit Ausnahme des Antrags auf Wiederherstellung der aufschiebenden Wirkung, weil dem Rechtsmittel von Gesetzes wegen aufschiebende Wirkung zukommt und diese nicht entzogen wurde (Art. 55 Abs. 1 und 2 VwVG) - einzutreten (Art. 52 VwVG; Art. 108 Abs. 3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Beschwerdeeingabe ist eindeutig als abschliessend zu verstehen und der Sachverhalt ist vollständig festgestellt. Angesichts der Dringlichkeit des Verfahrens kann damit über das Rechtsmittel praxisgemäss ausnahmsweise vor Ablauf der Beschwerdefrist entschieden werden (vgl. etwa das Urteil des BVGer E-228/2023 vom 17. Januar 2023 S. 3 m.w.H.).</w:t>
      </w:r>
    </w:p>
    <w:p>
      <w:r>
        <w:rPr>
          <w:b/>
        </w:rPr>
        <w:t>E. 4</w:t>
      </w:r>
    </w:p>
    <w:p>
      <w:r>
        <w:t>Die Beschwerde erweist sich als offensichtlich unbegründet und ist im Verfahren einzelrichterlicher Zuständigkeit mit Zustimmung eines zweiten Richters respektive einer zweiten Richterin (Art. 111 Bst. e AsylG), ohne Weiterungen und mit summarischer Begründung zu behandeln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Asylentscheids im Wesentlichen aus, der Bundesrat habe Rumänien am 25. November 1991 als sogenanntes Safe Country qualifiziert, weshalb das SEM entsprechende Asylgesuche abweise, sofern keine Hinweise auf Verfolgung vorliegen würden. Die vom Beschwerdeführer geschilderten Schikanen und angeblichen Verfolgungen seien flüchtlingsrechtlich nicht relevant, und es drohe ihm bei einer Rückkehr in den Heimatstaat keine Verfolgung im Sinn des Asylgesetzes. Aufgrund der Aktenlage könne davon ausgegangen werden, dass die Furcht des Beschwerdeführers vor dem Geheimdienst SRI und die Annahme, dass er ständig - auch im schweizerischen BAZ - verfolgt werde, allein auf seiner persönlichen Wahrnehmung beruhe; die subjektive Wahrnehmung bestimmter Vorkommnisse müsse indessen nicht immer den objektiven Tatsachen entsprechen. Den Akten seien keine Hinweise auf Verfolgung zu entnehmen, welche geeignet wären, die bei verfolgungssicheren Staaten bestehende gesetzliche Regelvermutung umzustossen.</w:t>
      </w:r>
    </w:p>
    <w:p>
      <w:r>
        <w:rPr>
          <w:b/>
        </w:rPr>
        <w:t>E. 6.2</w:t>
      </w:r>
    </w:p>
    <w:p>
      <w:r>
        <w:t>In seinem Rechtsmittel machte der Beschwerdeführer - im Wesentlichen unter Wiederholung des von ihm bereits aktenkundig gemachten Sachverhalts - geltend, er habe dem SEM alle Unterdrückungs- und Verfolgungsmassnahmen ausführlich dargelegt und bewiesen, denen er ausgesetzt gewesen sei. Eine Umsiedelung sei ihm verunmöglicht worden, weil die Geheimdienste der jeweiligen Drittstaaten die Diskriminierungsmassnahmen des SRI gegen ihn fortgesetzt hätten. Er könne unter diesen Umständen nicht in seine Heimat zurückkehren, weil er dort in eine Lage geraten würde, in der er als Aussenseiter gestempelt sowie in extreme Armut und ins Elend abrutschen und sein Leben in Gefahr bringen würde.</w:t>
      </w:r>
    </w:p>
    <w:p>
      <w:r>
        <w:rPr>
          <w:b/>
        </w:rPr>
        <w:t>E. 7.1</w:t>
      </w:r>
    </w:p>
    <w:p>
      <w:r>
        <w:t>Das Bundesverwaltungsgericht gelangt nach Prüfung der Akten zum Schluss, dass die Vorinstanz zutreffend festgestellt hat, die Vorbringen des Beschwerdeführers genügten den Anforderungen an die Flüchtlingseigenschaft im Sinn von Art. 3 AsylG nicht. Auf die betreffenden Ausführungen in der angefochtenen Verfügung (vgl. die Zusammenfassung der entsprechenden Erwägungen in E. 5.1) kann mit den nachfolgenden Ergänzungen verwiesen werden. Die Ausführungen auf Beschwerdeebene vermögen dieser Argumentation nichts Stichhaltiges entgegenzusetzen.</w:t>
      </w:r>
    </w:p>
    <w:p>
      <w:r>
        <w:rPr>
          <w:b/>
        </w:rPr>
        <w:t>E. 7.2</w:t>
      </w:r>
    </w:p>
    <w:p>
      <w:r>
        <w:t>Der Bundesrat hat Rumänien als verfolgungssicheren Staat im Sinn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aufgrund konkreter und substanziierter Hinweise umgestossen werden, wobei die Beweislast des Gegenteils bei der asylsuchenden Person liegt (vgl. BVGE 2013/10 E. 7.4.3).</w:t>
      </w:r>
    </w:p>
    <w:p>
      <w:r>
        <w:rPr>
          <w:b/>
        </w:rPr>
        <w:t>E. 7.3</w:t>
      </w:r>
    </w:p>
    <w:p>
      <w:r>
        <w:t>Der Beschwerdeführer vermag mit seinen Vorbringen diese Regelvermutung nicht umzustossen. Den Akten und den von ihm eingereichten Beweismitteln sind keine Hinweise dafür zu entnehmen, dass seinen subjektiven Befürchtungen objektive Tatsachen zugrunde liegen würden. Unter diesen Umständen ist nicht davon auszugehen, dass der Beschwerdeführer bei einer Rückkehr in den Heimatstaat mit beachtlicher Wahrscheinlichkeit in absehbarer Zukunft ernsthaften Nachteilen im Sinn von Art. 3 Abs. 2 AsylG ausgesetzt wird. Die Vorinstanz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Von dieser Regel wird abgewichen, wenn die asylsuchende Person im Besitz einer gültigen ausländerrechtlichen Aufenthalts- oder Niederlassungsbewilligung ist (vgl. Art. 32 Bst. a AsylV 1). Praxisgemäss wird die Wegweisung auch dann nicht verfügt, wenn eine asylsuchende Person grundsätzlich über einen Anspruch auf Erteilung einer Aufenthaltsbewilligung verfügt und diesbezüglich ein Gesuch bei der zuständigen kantonalen Ausländerbehörde bereits hängig ist (vgl. statt vieler Urteil des BVGer D-6806/2019 vom 8. Januar 2020 E. 6.2). Im Fall des Beschwerdeführers ist indessen kein Grund für den Verzicht auf die Anordnung der Wegweisung erfüllt. Zur Vermeidung unnötiger Wiederholungen kann auf die zutreffenden Erwägungen der Vorinstanz in der angefochtenen Verfügung verwiesen werden (vgl. angefochtene Verfügung S. 6). Dementsprechend ist die angeordnete Wegweisung aus der Schweiz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 namentlich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 einer Weiterreise der Ausländerin oder des Ausländers in den Heimat-, Herkunfts- oder einen Drittstaat entgegenstehen (Art. 83 Abs. 3 AIG).</w:t>
      </w:r>
    </w:p>
    <w:p>
      <w:r>
        <w:rPr>
          <w:b/>
        </w:rPr>
        <w:t>E. 9.2.2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dies nicht.</w:t>
      </w:r>
    </w:p>
    <w:p>
      <w:r>
        <w:rPr>
          <w:b/>
        </w:rPr>
        <w:t>E. 9.2.4</w:t>
      </w:r>
    </w:p>
    <w:p>
      <w:r>
        <w:t>Der Vollzug der Wegweisung ist sowohl im Sinn der landes- als auch der völkerrechtlichen Bestimmungen zulässig.</w:t>
      </w:r>
    </w:p>
    <w:p>
      <w:r>
        <w:rPr>
          <w:b/>
        </w:rPr>
        <w:t>E. 9.3</w:t>
      </w:r>
    </w:p>
    <w:p>
      <w:r>
        <w:t>Gemäss Art. 83 Abs. 4 AIG kann der Vollzug für Ausländerinnen und Ausländer unzumutbar sein, wenn sie im Heimatstaat aufgrund von Situationen wie Krieg, Bürgerkrieg, allgemeiner Gewalt und medizinischer Notlage konkret gefährdet sind. Wird eine konkrete Gefährdung festgestellt, ist grundsätzlich die vorläufige Aufnahme anzuordnen.</w:t>
      </w:r>
    </w:p>
    <w:p>
      <w:r>
        <w:rPr>
          <w:b/>
        </w:rPr>
        <w:t>E. 9.3.1</w:t>
      </w:r>
    </w:p>
    <w:p>
      <w:r>
        <w:t>Zusammen mit der Einstufung als Safe Country bezeichnete der Bundesrat Rumänien auch als Heimat- oder Herkunftsstaat, in den eine Rückkehr in der Regel zumutbar ist (vgl. Art. 83 Abs. 5 AIG; Anhang 2 der Verordnung über den Vollzug der Weg- und Ausweisung sowie der Landesverweisung von ausländischen Personen [VVWAL, SR 142.281]). Die Bezeichnung von Staaten, in welche die Wegweisung prinzipiell zumutbar ist, setzt unter anderem politische Stabilität (namentlich das Fehlen von Krieg, Bürgerkrieg oder einer Situation allgemeiner Gewalt) sowie das Vorhandensein einer medizinischen Grundversorgung voraus (Art. 18 Abs. 1 Bst. a und b VVWAL). Auch diese Vermutung kann aufgrund konkreter und substanziierter Hinweise widerlegt werden.</w:t>
      </w:r>
    </w:p>
    <w:p>
      <w:r>
        <w:rPr>
          <w:b/>
        </w:rPr>
        <w:t>E. 9.3.2</w:t>
      </w:r>
    </w:p>
    <w:p>
      <w:r>
        <w:t>Mit den nicht weiter substanziierten Vorbringen auf Beschwerdeebene gelingt es dem Beschwerdeführer offenkundig nicht, diese Regelvermutung zu widerlegen.</w:t>
      </w:r>
    </w:p>
    <w:p>
      <w:r>
        <w:rPr>
          <w:b/>
        </w:rPr>
        <w:t>E. 9.3.3</w:t>
      </w:r>
    </w:p>
    <w:p>
      <w:r>
        <w:t>Wie die Vorinstanz zutreffend ausgeführt hat (vgl. angefochtene Verfügung S. 7), sind auch keine individuellen Vollzugshindernisse gegeben.</w:t>
      </w:r>
    </w:p>
    <w:p>
      <w:r>
        <w:rPr>
          <w:b/>
        </w:rPr>
        <w:t>E. 9.3.4</w:t>
      </w:r>
    </w:p>
    <w:p>
      <w:r>
        <w:t>Nach dem Gesagten erweist sich der Vollzug der Wegweisung als zumutbar.</w:t>
      </w:r>
    </w:p>
    <w:p>
      <w:r>
        <w:rPr>
          <w:b/>
        </w:rPr>
        <w:t>E. 9.4</w:t>
      </w:r>
    </w:p>
    <w:p>
      <w:r>
        <w:t>Schliesslich obliegt es dem Beschwerdeführer, sich im Bedarfsfall bei der zuständigen Vertretung des Heimatstaates die für eine Rückkehr notwendigen Reisedokumente zu beschaffen (Art. 47 Abs. 1 AsylG, vgl.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Rechtsverbeiständung. Weil seine Begehren aussichtslos waren, ist das Gesuch - ungeachtet der bisher nicht belegten Mittellosigkeit - abzuweisen (Art. 65 Abs. 1 VwVG).</w:t>
      </w:r>
    </w:p>
    <w:p>
      <w:r>
        <w:rPr>
          <w:b/>
        </w:rPr>
        <w:t>E. 11.2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rPr>
          <w:b/>
        </w:rPr>
        <w:t>E. 11.3</w:t>
      </w:r>
    </w:p>
    <w:p>
      <w:r>
        <w:t>Das Gesuch um Befreiung von der Kostenvorschusspflicht ist mit dem vorliegendem Direktentscheid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