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E-2836/2014 vom 18. September 2014</w:t>
      </w:r>
    </w:p>
    <w:p>
      <w:r>
        <w:t>Bundesverwaltungsgericht, 2014-09-18, DE</w:t>
      </w:r>
    </w:p>
    <w:p>
      <w:r>
        <w:rPr>
          <w:b/>
        </w:rPr>
        <w:t xml:space="preserve">Quelle: </w:t>
      </w:r>
      <w:r>
        <w:t>https://mcp.opencaselaw.ch/entscheid/bvger_E-2836_2014</w:t>
      </w:r>
    </w:p>
    <w:p>
      <w:r>
        <w:t>FR: TAF E-2836/2014 du 18 septembre 2014</w:t>
      </w:r>
    </w:p>
    <w:p>
      <w:r>
        <w:t>IT: TAF E-2836/2014 del 18 settembre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vorliegende Beschwerde ist in Englisch und somit nicht in einer Amtssprache des Bundes abgefasst. Auf die Ansetzung einer Frist zur Beschwerdeverbesserung oder auf die Einholung einer Übersetzung kann indessen aus prozessökonomischen Gründen praxisgemäss verzichtet werden. Abgesehen vom sprachlichen Mangel ist die Beschwerde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1.4</w:t>
      </w:r>
    </w:p>
    <w:p>
      <w:r>
        <w:t>Der Antrag des Beschwerdeführers in der Eingabe vom 24. Mai 2014, es sei ihm zur erneuten Beschwerdeerhebung eine Frist von 30 Tagen anzusetzen, ist abzuweisen, da das Gesetz eine Verlängerung der Beschwerdefrist ausschliesst (vgl. Art. 108 Abs. 1 AsylG i.V.m. Art. 22 Abs. 1 VwVG) und die vorliegende Beschwerdesache eine Beschwerdeergänzung nicht erfordert (vgl. Art. 53 VwVG). Eine weitere Eingabe des Beschwerdeführers hätte hingegen gestützt auf Art. 32 Abs. 2 VwVG berücksichtigt werden können. Indes verzichtete dieser auf zusätzliche Ausführungen.</w:t>
      </w:r>
    </w:p>
    <w:p>
      <w:r>
        <w:rPr>
          <w:b/>
        </w:rPr>
        <w:t>E. 1.5</w:t>
      </w:r>
    </w:p>
    <w:p>
      <w:r>
        <w:t>Der Vollständigkeit halber ist festzuhalten, dass der Beschwerdeführer in seinen Eingaben ans BFM nicht nur für sich, sondern auch für (...) um Asyl ersucht, worauf weder die Botschaft noch die Vorinstanz eingegangen sind. Nachdem der Beschwerdeführer jedoch zu keinem Zeitpunkt Vollmachten betreffend seine (...) eingereicht hat, bei der Anhörung auf der Botschaft offenbar keinen entsprechenden Willen mehr kundtat und auch in seinen Eingaben auf Beschwerdeebene keine Asylgesuche (...) erwähnt, kann davon ausgegangen werden, dass er tatsächlich nur für sich selbst um Asyl ersuchen wollte. Die Beschwerde sowie das vorliegende Urteil betreffen somit lediglich die Person des Beschwerdeführers.</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 4.1 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 4.2 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5.1</w:t>
      </w:r>
    </w:p>
    <w:p>
      <w:r>
        <w:t>Die Vorinstanz führte zur Begründung ihres Entscheids im Wesentlichen aus, der Beschwerdeführer mache geltend, seit 2005 mehrmals, zuletzt im Jahr 2011, vom CID und der Karuna-Gruppe verhört und geschlagen worden zu sein. Diesen von ihm geltend gemachten Vorkommnissen - soweit sie angesichts der kaum vorhandenen Substantiierung und zahlreicher Widersprüche überhaupt geglaubt werden könnten - komme indes keine einreiserelevante Bedeutung zu. Insbesondere seien keine nachvollziehbaren Anhaltspunkte dafür ersichtlich, dass er in absehbarer Zukunft staatlichen Verfolgungsmassnahmen ausgesetzt sein könnte. Zwar sei nicht auszuschliessen, dass der Beschwerdeführer als Mitarbeiter (...) unter Beobachtung der sri-lankischen Behörden gestanden habe und beobachtet worden sei. Derartigen Massnahmen komme indessen aufgrund mangelnder Intensität kein Verfolgungscharakter zu, zumal es seit 2011 offensichtlich zu keinen ernsthaften Vorfällen mehr gekommen sei. Eine Einreisebewilligung könne jedoch nur erteilt werden, wenn mit überwiegender Wahrscheinlichkeit von einer akuten Gefährdung der gesuchstellenden Person ausgegangen werden müsse. Dies treffe auf den Beschwerdeführer nicht zu. An dieser Einschätzung vermöchten auch die eingereichten Dokumente nichts zu ändern, würden diese doch lediglich Vorbringen stützen, deren Glaubhaftigkeit nicht in Frage gestellt werde. Der Beschwerdeführer weise ausserdem kein Gefährdungsprofil auf, welches zum heutigen Zeitpunkt mit erheblicher Wahrscheinlichkeit auf eine Verfolgung seitens des sri-lankischen Staates schliessen lassen würde. Zusammenfassend sei festzustellen, dass der Beschwerdeführer nicht schutzbedürftig im Sinne des AsylG sei. Die Einreise in die Schweiz sei daher zu verweigern und das Asylgesuch sei abzulehnen.</w:t>
      </w:r>
    </w:p>
    <w:p>
      <w:r>
        <w:rPr>
          <w:b/>
        </w:rPr>
        <w:t>E. 5.2</w:t>
      </w:r>
    </w:p>
    <w:p>
      <w:r>
        <w:t>In seinen Eingaben auf Beschwerdeebene legt der Beschwerdeführer im Wesentlichen dar, er sei im Jahr 2008, als er als (...) tätig gewesen sei, von unbekannten Personen angegriffen und gesucht worden. Auch heute würden sowohl er als auch seine Familie weiterhin bedroht. Er habe sich über die Bedrohungen jeweils bei der Polizei und der HRC beschwert. Nach der Anhörung in Colombo habe jemand versucht, ihn zu entführen, er habe aber entkommen können. Später hätten ihn Beamte des CID befragt. Zudem sei er mit dem Tode bedroht worden. Er halte sich momentan versteckt in C._______ auf und könne seine Familie nicht sehen. Seine in der Schweiz lebende (...) sei bereit, ihn in der Schweiz finanziell zu unterstützen.</w:t>
      </w:r>
    </w:p>
    <w:p>
      <w:r>
        <w:rPr>
          <w:b/>
        </w:rPr>
        <w:t>E. 6</w:t>
      </w:r>
    </w:p>
    <w:p>
      <w:r>
        <w:t>Nach Prüfung der Akten gelangt das Bundesverwaltungsgericht in Übereinstimmung mit dem BFM zum Schluss, dass der Beschwerdeführer nicht auf den Schutz der Schweiz angewiesen ist. Zunächst ist festzuhalten, dass die Unterstützungsbereitschaft der (...) des Beschwerdeführers für die Beurteilung von dessen Gefährdungssituation unerheblich ist. Sodann ist dem BFM beizupflichten, dass der Beschwerdeführer seine Asylgründe sowohl in seinen schriftlichen Eingaben als auch anlässlich der Botschaftsbefragung oberflächlich und widersprüchlich darlegte. Eine weitergehende Prüfung der Glaubhaftigkeit der Vorbringen kann jedoch unterbleiben, da es diesen an der notwendigen Relevanz gemäss Art. 3 AsylG mangelt. Die geltend gemachten Behelligungen - namentlich Befragungen und telefonische sowie persönliche Drohungen durch das CID und die (ehemalige) Karuna-Gruppe - liegen überwiegend mehrere Jahre zurück sind und sind von zu geringer Intensität, um als ernsthafte Nachteile zu gelten. Bei der Botschaftsbefragung vom 12. März 2014 machte der Beschwerdeführer sodann keine Vorkommnisse geltend, die auf eine aktuelle oder inskünftig drohende Verfolgung hindeuten. Insofern erweist sich die vorgebrachte Furcht vor einer Entführung als objektiv unbegründet. Die unsubstanziierten Ausführungen auf Beschwerde­ebene, wonach der Beschwerdeführer nach der Botschaftsbefragung einer Entführung von unbekannter Seite nur dank der Intervention von anwesenden Personen habe entkommen können und vom CID mit dem Tode bedroht sei, sind vor diesem Hintergrund als Schutzbehauptungen zu werten. Im Übrigen ist auf die Erwägungen des BFM zu verweisen, denen sich das Bundesverwaltungsgericht vollumfänglich anschliesst. Nach dem Gesagten ist der Beschwerdeführer nicht schutzbedürftig im Sinne von Art. 3 AsylG. Die Vorinstanz hat ihm somit zu Recht die Einreise in die Schweiz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mithin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