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E-2834/2011 vom 31. Mai 2011</w:t>
      </w:r>
    </w:p>
    <w:p>
      <w:r>
        <w:t>Bundesverwaltungsgericht, 2011-05-31, DE</w:t>
      </w:r>
    </w:p>
    <w:p>
      <w:r>
        <w:rPr>
          <w:b/>
        </w:rPr>
        <w:t xml:space="preserve">Quelle: </w:t>
      </w:r>
      <w:r>
        <w:t>https://mcp.opencaselaw.ch/entscheid/bvger_E-2834_2011</w:t>
      </w:r>
    </w:p>
    <w:p>
      <w:r>
        <w:t>FR: TAF E-2834/2011 du 31 mai 2011</w:t>
      </w:r>
    </w:p>
    <w:p>
      <w:r>
        <w:t>IT: TAF E-2834/2011 del 31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nicht in einer Amtssprache des Bundes (vgl. Art. 105 AsylG i.V.m. Art. 33a VwVG und Art. 70 Abs. 1 der Bundesverfassung der Schweizerischen Eidgenossenschaft vom 18. April 1999 [BV, SR 101]) abgefasst. Auf die Ansetzung einer Frist zur Beschwerdeverbesserung im Sinne von Art. 52 VwVG kann vorliegend aus prozessökonomischen Gründen verzichtet werden. Der vorliegende Entscheid ergeht in deutscher Sprache (vgl. Art. 33a Abs. 2 VwVG i.V.m. Art. 37 VGG).</w:t>
      </w:r>
    </w:p>
    <w:p>
      <w:r>
        <w:rPr>
          <w:b/>
        </w:rPr>
        <w:t>E. 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9. Mai 2011 bei der Schweizerischen Botschaft eingegangene Beschwerde rechtzeitig erfolgt ist.</w:t>
      </w:r>
    </w:p>
    <w:p>
      <w:r>
        <w:rPr>
          <w:b/>
        </w:rPr>
        <w:t>E. 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4</w:t>
      </w:r>
    </w:p>
    <w:p>
      <w:r>
        <w:t>Mit Beschwerde kann die Verletzung von Bundesrecht, die unrichtige oder unvollständige Feststellung des rechtserheblichen Sachverhalts und die Unangemessenheit gerügt werden (Art. 106 Abs. 1 AsylG).</w:t>
      </w:r>
    </w:p>
    <w:p>
      <w:r>
        <w:rPr>
          <w:b/>
        </w:rPr>
        <w:t>E. 5.1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5.2</w:t>
      </w:r>
    </w:p>
    <w:p>
      <w:r>
        <w:t>Gestützt auf Art. 111a Abs. 1 AsylG wurde vorliegend auf die Durchführung eines Schriftenwechsels verzichtet.</w:t>
      </w:r>
    </w:p>
    <w:p>
      <w:r>
        <w:rPr>
          <w:b/>
        </w:rPr>
        <w:t>E. 6.1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6.3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die dort akzentuierte Praxis hat nach bloss redaktionellen Änderungen bei der letzten Totalrevision des Asylgesetzes nach wie vor Gültigkeit).</w:t>
      </w:r>
    </w:p>
    <w:p>
      <w:r>
        <w:rPr>
          <w:b/>
        </w:rPr>
        <w:t>E. 7.1</w:t>
      </w:r>
    </w:p>
    <w:p>
      <w:r>
        <w:t>In der angefochtenen Verfügung führt das BFM aus, angesichts des knapp einjährigen Aufenthalts in verschiedenen Internierungslagern und den wiederholten Kontrollen und Befragungen durch die srilankischen Behörden seit der Freilassung habe es Verständnis dafür, dass der Beschwerdeführer um seine Sicherheit fürchte. Das schweizerische Asylrecht diene indes nicht dem Ausgleich erlittenen Unrechts. Insofern vermöge der knapp einjährige Aufenthalt zwecks Rehabilitation in den verschiedenen Internierungslagern zum heutigen Zeitpunkt eine Einreisebewilligung in die Schweiz nicht zu begründen. Auch sei die Furcht vor einer zukünftigen Verfolgung nicht begründet im Sinne des Asylgesetzes. Die Freilassung aus den Internierungslagern mache deutlich, dass der Beschwerdeführer trotz der früheren LTTE-Mitgliedschaft von den srilankischen Behörden nicht mehr ernsthaft verdächtigt werde, in terroristische Aktivitäten verwickelt zu sein. Es sei nicht völlig auszuschliessen, dass der Beschwerdeführer nach seiner Freilassung weiterhin unter Beobachtung der srilankischen Behörden gestanden habe und wiederholt befragt worden sei. Derartige Massnahmen, die im Zusammenhang mit der allgemeinen Bekämpfung des Terrorismus der LTTE durch die srilankischen Behörden stehen würden, komme indes aufgrund fehlender Intensität kein Verfolgungscharakter zu. Es würden keine konkreten Anhaltspunkte dafür bestehen, dass der Beschwerdeführer heute noch befürchten müsse, schwerwiegenden staatlichen Verfolgungsmassnahmen ausgesetzt zu sein. Wären die heimatlichen Behörden nach wie vor davon überzeugt, dass der Beschwerdeführer weiterhin eine Gefahr für den Staat darstellen würde, wäre er nach der Entlassung erneut verhaftet worden. Dies sei nicht der Fall gewesen. Was die Behelligungen durch unbekannte Dritte anbelange, so handle es sich dabei um eine blosse Vermutung, die der Beschwerdeführer in keiner Weise durch konkrete Vorkommnisse untermauern könne. Es handle sich dabei um Verfolgungsmassnahmen seitens Dritter, die vom srilankischen Staat geahndet würden. Der Beschwerdeführer habe die Möglichkeit, sich an die lokal zuständigen Instanzen zu wenden, um um Schutz zu ersuchen. Trotz des früheren Aufenthalts in den Internierungslagern könne aus der vorliegenden Aktenlage keine Hinweise entnommen werden, welche betreffend den Beschwerdeführer auf eine grundsätzliche Schutzunwilligkeit des Staates hindeuten würden. Im Übrigen handle es sich dabei um lokal oder regional beschränkte Verfolgungsmassnahmen, welchen sich der Beschwerdeführer durch ein innerstaatliches Ausweichen entziehen könne.</w:t>
      </w:r>
    </w:p>
    <w:p>
      <w:r>
        <w:rPr>
          <w:b/>
        </w:rPr>
        <w:t>E. 7.2</w:t>
      </w:r>
    </w:p>
    <w:p>
      <w:r>
        <w:t>In der Rechtsmitteleingabe verweist der Beschwerdeführer auf seine Lebenssituation und ersucht sinngemäss um nochmalige Beurteilung seines Gesuchs.</w:t>
      </w:r>
    </w:p>
    <w:p>
      <w:r>
        <w:rPr>
          <w:b/>
        </w:rPr>
        <w:t>E. 7.3</w:t>
      </w:r>
    </w:p>
    <w:p>
      <w:r>
        <w:t>Der Beschwerdeführer befürchtet, aufgrund seiner ehemaligen, langjährigen Tätigkeit für die LTTE staatlichen Verfolgungsmassnahmen ausgesetzt zu sein. Mit der Vorinstanz kann das Bundesverwaltungsgericht diese Befürchtungen nachvollziehen. Indes ist darauf hinzuweisen, dass sich der Beschwerdeführer in einem Rehabilitationsprogramm befunden hat und nach rund einem Jahr aus diesem entlassen wurde. Dies macht deutlich, dass er für die Behörden zu jenem Zeitpunkt nicht mehr als Gefahr für den heimatlichen Staat betrachtet wurde. Dementsprechend wurde der Beschwerdeführer seit seiner Entlassung im April 2010 auch nicht mehr verhaftet, obwohl seitens des CID hinreichend Gelegenheit bestanden hätte. Zudem erhielt der Beschwerdeführer auf Antrag einen heimatlichen Reisepass ausgestellt, was als deutliches Indiz zu werten ist, dass die Behörden kein Verfolgungsinteresse an der Person des Beschwerdeführers haben. Sodann steht es dem Beschwerdeführer offen, sich durch ein innerstaatliches Ausweichen allfälligen Benachteiligungen durch unbekannte Dritte zu entziehen. Weiter ist festzustellen, dass sich die allgemeine Sicherheitslage in Sri Lanka seit Mitte 2009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dem Beschwerdeführer seit seiner Entlassung im April 2010, mithin seit rund einem Jahr nichts Nachteiliges im Sinne von Art. 3 AsylG widerfahren ist, ist davon auszugehen, dass er in seiner Heimatregion keine asylrelevanten Verfolgungsmassnahmen zu befürchten hat. Sodann genügt allein die Angst vor einer allfällig künftig möglichen Bedrohung nicht, um auf das Vorliegen einer begründeten Furcht vor künftiger Verfolgung zu schliessen. Und letztlich ist auch eine vom BFM und dem Gericht anerkannte sozial sowie wirtschaftlich schwierige Lebenssituation unter dem Blickwinkel des Asylrechts nicht relevant. Schliesslich vermag der Beschwerdeführer mit dem sinngemässen Bekräftigen seiner Vorbringen in der Rechtsmitteleingabe nicht substantiiert darzutun, inwiefern das BFM zu Unrecht geschlossen habe, er sei nicht schutzbedürftig im Sinne des Asylgesetzes, und es sei ihm deshalb die Einreise zu bewilligen. Um Wiederholungen zu vermeiden, kann vollumfänglich auf die zutreffenden Erwägungen in der angefochtenen Verfügung verwiesen werden.</w:t>
      </w:r>
    </w:p>
    <w:p>
      <w:r>
        <w:rPr>
          <w:b/>
        </w:rPr>
        <w:t>E. 7.4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