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E-2831/2013 vom 11. März 2014</w:t>
      </w:r>
    </w:p>
    <w:p>
      <w:r>
        <w:t>Bundesverwaltungsgericht, 2014-03-11, DE</w:t>
      </w:r>
    </w:p>
    <w:p>
      <w:r>
        <w:rPr>
          <w:b/>
        </w:rPr>
        <w:t xml:space="preserve">Quelle: </w:t>
      </w:r>
      <w:r>
        <w:t>https://mcp.opencaselaw.ch/entscheid/bvger_E-2831_2013</w:t>
      </w:r>
    </w:p>
    <w:p>
      <w:r>
        <w:t>FR: TAF E-2831/2013 du 11 mars 2014</w:t>
      </w:r>
    </w:p>
    <w:p>
      <w:r>
        <w:t>IT: TAF E-2831/2013 del 11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Die sri-lankischen Behörden haben die tamilischen Rückkehrer bei der Wiedereinreise in Haft genommen. Daraufhin stellte die Vorinstanz in Aussicht,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die Dossiers jener Personen zu überprüfen, deren Gesuche rechtskräftig abgelehnt worden sind und die mit der Rückführung nach Sri Lanka hätten rechnen müssen. Die Vorinstanz geht damit davon aus, dass der Sachverhalt, wie er der Verfügung vom 12. April 2013 zugrunde liegt, offensichtlich nicht vollständig festgestellt ist. Denn es besteht kein Zweifel, dass eine neue Lagebeurteilung vor Ort sich im Wegweisungsvollzugspunkt auf die konkrete Feststellung des rechtserheblichen Sachverhalts auswirken kann.</w:t>
      </w:r>
    </w:p>
    <w:p>
      <w:r>
        <w:rPr>
          <w:b/>
        </w:rPr>
        <w:t>E. 2.2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w:t>
      </w:r>
    </w:p>
    <w:p>
      <w:r>
        <w:t>Die Beschwerde ist demnach gutzuheissen.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am 21. Juni 2013 geleistete Kostenvorschuss in der Höhe von Fr. 600.- ist zurückzuerstatten.</w:t>
      </w:r>
    </w:p>
    <w:p>
      <w:r>
        <w:rPr>
          <w:b/>
        </w:rPr>
        <w:t>E. 4.2</w:t>
      </w:r>
    </w:p>
    <w:p>
      <w:r>
        <w:t>Dem vertretenen Beschwerdeführer ist angesichts des Ausgangs des Verfahrens für die ihm erwachsenen notwendigen und verhältnismässig hohen Kosten eine Parteientschädigung zuzusprechen (Art. 64 VwVG und Art. 7 Abs. 1 des Reglements vom 21. Februar 2008 über die Kosten und Entschädigungen vor dem Bundesverwaltungsgericht [VGKE, SR 173.320.2]). Der Rechtsvertreter hat keine Kostennote eingereicht. Der entstandene Vertretungsaufwand kann jedoch aufgrund der Akten zuverlässig abgeschätzt werden (Art. 14 Abs. 2 VGKE). Dem Beschwerdeführer ist zu Lasten des BFM unter Berücksichtigung der massgebenden Bemessungsfaktoren (Art. 9-13 VGKE) und der Entschädigungspraxis in vergleichbaren Fällen eine Parteientschädigung von insgesamt Fr. 1800.- (inkl. Auslagen und allfällige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