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E-2827/2016 vom 7. Juni 2016</w:t>
      </w:r>
    </w:p>
    <w:p>
      <w:r>
        <w:t>Bundesverwaltungsgericht, 2016-06-07, DE</w:t>
      </w:r>
    </w:p>
    <w:p>
      <w:r>
        <w:rPr>
          <w:b/>
        </w:rPr>
        <w:t xml:space="preserve">Quelle: </w:t>
      </w:r>
      <w:r>
        <w:t>https://mcp.opencaselaw.ch/entscheid/bvger_E-2827_2016</w:t>
      </w:r>
    </w:p>
    <w:p>
      <w:r>
        <w:t>FR: TAF E-2827/2016 du 7 juin 2016</w:t>
      </w:r>
    </w:p>
    <w:p>
      <w:r>
        <w:t>IT: TAF E-2827/2016 del 7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Beschwerdeführenden würden den Anforderungen an die Glaubhaftigkeit nach Art. 7 AsylG nicht standhalten. Die Vorbringen des Beschwerdeführers, er sei am 18. April 2014 überfallen worden und er sei an der Stürmung des Verwaltungsgebäudes in C._______ beteiligt gewesen, müssten als nachgeschoben qualifiziert werden. Des Weiteren seien seine Ausführungen widersprüchlich. Die Ausführungen der Beschwerdeführerin seien ebenfalls widersprüchlich. Zudem schildere sie bestimmte Geschehensabläufe nicht nachvollziehbar und oberflächlich. Ihre Entführungen bringe sie nur sehr knapp und unsubstantiiert vor. Schliesslich sei seit Mai 2014 kein Kontakt mehr zu allfälligen politischen Gegnern erfolgt, weshalb kein Zusammenhang zur Ausreise der Beschwerdeführenden im Frühling 2015 ersichtlich sei.</w:t>
      </w:r>
    </w:p>
    <w:p>
      <w:r>
        <w:rPr>
          <w:b/>
        </w:rPr>
        <w:t>E. 4.2</w:t>
      </w:r>
    </w:p>
    <w:p>
      <w:r>
        <w:t>Die Schlussfolgerungen der Vorinstanz sind weder in tatsächlicher noch in rechtlicher Hinsicht zu beanstanden. In der angefochtenen Verfügung wird einlässlich begründet, weshalb ein Grossteil der Aussagen der Beschwerdeführenden unglaubhaft ausgefallen ist. Die Beschwerdeführenden setzen sich mit der Beweiswürdigung der Vorinstanz nicht ansatzweise auseinander.</w:t>
      </w:r>
    </w:p>
    <w:p>
      <w:r>
        <w:rPr>
          <w:b/>
        </w:rPr>
        <w:t>E. 4.2.1</w:t>
      </w:r>
    </w:p>
    <w:p>
      <w:r>
        <w:t>Die Vorinstanz führt zutreffend aus, dass die Hauptvorbringen des Beschwerdeführers als nachgeschoben und somit unglaubhaft qualifiziert werden müssen. So gibt er in der BzP als Fluchtgrund einzig seine Teilnahme an Protesten und Demonstrationen sowie seine Mitgliedschaft bei der DNR an. Der angebliche Überfall vom 18. April 2014 sowie seine Teilnahme an der Erstürmung des Verwaltungsgebäudes, welche er bei der Anhörung als zentrale Vorfälle für seine angebliche Verfolgung vorbringt, erwähnt er in der BzP mit keinem Wort. Zudem bringt er in der BzP vor, er habe an den militärischen Auseinandersetzungen nicht teilgenommen (SEM-Akten, A9/13 S. 8), was im Gegensatz zu der in der Anhörung behaupteten bewaffneten Erstürmung des Verwaltungsgebäudes steht (SEM-Akten, A26/16 F63 ff.). Auch bezüglich seines Spitalaufenthaltes aufgrund des Vorfalles vom 18. April 2014 widerspricht sich der Beschwerdeführer. So gibt er anfangs zu Protokoll, er sei während einer Woche im Spital gewesen (SEM-Akten, A26/16 F5). Als er darauf angesprochen wird, dass er im Spital für seine Gegner leicht ausfindig zu machen wäre, korrigiert er seine Aussage und sagt, er sei nur ambulant behandelt worden (SEM-Akten, A26/16 F96 f.). Seine Vorbringen müssen deshalb als insgesamt unglaubhaft eingestuft werden.</w:t>
      </w:r>
    </w:p>
    <w:p>
      <w:r>
        <w:rPr>
          <w:b/>
        </w:rPr>
        <w:t>E. 4.2.2</w:t>
      </w:r>
    </w:p>
    <w:p>
      <w:r>
        <w:t>Ebenfalls unglaubhaft sind die Aussagen der Beschwerdeführerin. So widerspricht sie sich bezüglich der Anzahl Männer, die an ihrer angeblichen Entführung beteiligt gewesen sein sollten. An der BzP spricht sie von drei Männern, die sie ins Auto gezerrt hätten (SEM-Akten, A11/12 S. 7), während sie an der Anhörung zu Protokoll gibt, von zwei Personen entführt worden zu sein (SEM-Akten, A27/12 F60 und F66). Ihre Rechtfertigung, dass einer der Männer hinter dem Steuer gesessen sei, überzeugt nicht, da sie kurz davor erwähnt, dass mit ihr zusammen drei Personen im Auto gesessen hätten (SEM-Akten, A27/12 F60 und F67). Ein weiterer Widerspruch in ihren Angaben findet sich bei der Länge des Aufenthalts bei ihrer Mutter nach der angeblichen Entführung. Während sie in der BzP angibt, sie habe sich dort ungefähr eine Woche aufgehalten (SEM-Akten, A11/12 S. 7), bringt sie in der Anhörung vor, sie sei dort einen Monat lang untergekommen (SEM-Akten, A27/12 F78 und F82). Über die gesamte Dauer der Anhörung sind die Aussagen der Beschwerdeführerin im Übrigen äusserst oberflächlich und unsubstantiiert. Realkennzeichen finden sich keine. Es ist deshalb nicht davon auszugehen, dass sie von selbst Erlebtem berichtet.</w:t>
      </w:r>
    </w:p>
    <w:p>
      <w:r>
        <w:rPr>
          <w:b/>
        </w:rPr>
        <w:t>E. 4.2.3</w:t>
      </w:r>
    </w:p>
    <w:p>
      <w:r>
        <w:t>Zurecht macht die Vorinstanz in ihrer Verfügung darauf aufmerksam, dass der letzte Kontakt der Beschwerdeführerin mit den angeblichen politischen Gegnern ihres Mannes im Mai 2014 stattgefunden hat. Ihre Ausreise hingegen ist erst im April 2015 erfolgt, womit es an einem sachlichen und zeitlichen Kausalzusammenhang zwischen dem angeblichen Fluchtgrund und dem Verlassen des Landes fehlt. Bezüglich des Beschwerdeführers ist anzumerken, dass er, sollte er in der Ukraine tatsächlich bedroht und verfolgt worden sein, kaum am 1. Oktober 2014 dorthin zurückgekehrt wäre. Die Vorbringen der Beschwerdeführenden sind demnach weder glaubhaft noch asylrelevant.</w:t>
      </w:r>
    </w:p>
    <w:p>
      <w:r>
        <w:rPr>
          <w:b/>
        </w:rPr>
        <w:t>E. 4.3</w:t>
      </w:r>
    </w:p>
    <w:p>
      <w:r>
        <w:t>Zusammenfassend ist festzuhalten, dass es den Beschwerdeführenden nicht gelungen ist, eine im Zeitpunkt ihrer Ausreise aus der Ukraine bestehende oder drohende, asylrechtlich relevante Gefährdung nachzuweisen oder glaubhaft zu machen. Die Vorinstanz hat das Asylgesuch der Beschwerdeführenden zu Recht abgelehnt.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Beschwerdeführenden ergeben sich konkrete Anhaltspunkte dafür, dass sie für den Fall einer Ausschaffung in die Ukraine dort mit beachtlicher Wahrscheinlichkeit einer nach Art. 3 EMRK oder Art. 1 FoK verbotenen Strafe oder Behandlung ausgesetzt wären.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Das Bundesverwaltungsgericht davon aus, dass die allgemeine Lage in der Ukraine nicht landesweit durch Krieg oder eine Situation allgemeiner Gewalt gekennzeichnet ist, aufgrund derer die Zivilbevölkerung als generell konkret gefährdet bezeichnet werden müsste. Auch die Berücksichtigung der persönlichen Situation der Beschwerdeführenden führt zu keiner anderen Einschätzung der Zumutbarkeit. Beide sind jung, gesund und verfügen über eine gute Ausbildung. Nach dem Gesagten ist den vorinstanzlichen Erwägungen zu folgen. Der Vollzug der Wegweisung ist zumutbar.</w:t>
      </w:r>
    </w:p>
    <w:p>
      <w:r>
        <w:rPr>
          <w:b/>
        </w:rPr>
        <w:t>E. 6.4</w:t>
      </w:r>
    </w:p>
    <w:p>
      <w:r>
        <w:t>Der Vollzug der Wegweisung ist schliesslich nach Art. 83 Abs. 2 AuG als möglich zu bezeichnen, weil es den Beschwerdeführenden obliegt, sich bei der zuständigen Vertretung ihres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