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E-2821/2012 vom 18. Juni 2013</w:t>
      </w:r>
    </w:p>
    <w:p>
      <w:r>
        <w:t>Bundesverwaltungsgericht, 2013-06-18, FR</w:t>
      </w:r>
    </w:p>
    <w:p>
      <w:r>
        <w:rPr>
          <w:b/>
        </w:rPr>
        <w:t xml:space="preserve">Quelle: </w:t>
      </w:r>
      <w:r>
        <w:t>https://mcp.opencaselaw.ch/entscheid/bvger_E-2821_2012</w:t>
      </w:r>
    </w:p>
    <w:p>
      <w:r>
        <w:t>FR: TAF E-2821/2012 du 18 juin 2013</w:t>
      </w:r>
    </w:p>
    <w:p>
      <w:r>
        <w:t>IT: TAF E-2821/2012 del 18 giugno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Le recourant fait grief à l'ODM d'avoir violé son droit d'être entendu, soulevant à l'appui plusieurs motifs. Il reproche d'abord à l'autorité de première instance de ne pas lui avoir remis, avec les autres pièces du dossier, copie des documents que lui-même avait produits. Le Tribunal ne voit cependant pas en quoi il y aurait en l'occurrence violation du droit d'être entendu, ces pièces étant évidemment connues de l'intéressé ; de plus, vu leur absence de valeur probante (cf. consid. 4 ci-dessous), cet argument est sans portée.</w:t>
      </w:r>
    </w:p>
    <w:p>
      <w:r>
        <w:rPr>
          <w:b/>
        </w:rPr>
        <w:t>E. 2.2</w:t>
      </w:r>
    </w:p>
    <w:p>
      <w:r>
        <w:t>L'intéressé accuse par ailleurs l'ODM de n'avoir pas pris en considération plusieurs des faits qu'il avait allégués, et d'avoir ainsi donné à sa décision une motivation insuffisante. Il s'agit en l'espèce de son arrestation de 2010, de la convocation judiciaire reçue par sa femme, de la manière dont il aurait été informé (par des amis du BDP) des recherches imminentes de la police dirigées contre lui, et des démarches de personnes s'étant renseignées sur lui après son départ. Le recourant reproche en outre à l'ODM de n'avoir pas accordé une portée suffisante aux documents produits et de les avoir écartés sans examen suffisant, et aussi d'avoir négligé l'aspect politique de son arrestation de 2010 et des suites possibles de celle-ci. Il requiert également de nouvelles mesures d'instruction au sujet des pièces litigieuses. Aucun de ces griefs n'est fondé. En effet, les points litigieux relevés par l'intéressé ont tous été cités par l'ODM dans sa décision (excepté les questions d'inconnus s'enquérant de lui, élément très secondaire). Par ailleurs, c'est sur la base de sa propre appréciation que l'autorité de première instance a écarté les preuve produites, et cela à juste titre, comme on le verra plus bas.</w:t>
      </w:r>
    </w:p>
    <w:p>
      <w:r>
        <w:rPr>
          <w:b/>
        </w:rPr>
        <w:t>E. 2.3</w:t>
      </w:r>
    </w:p>
    <w:p>
      <w:r>
        <w:t>Enfin, le Tribunal rappelle que la motivation d'une décision doit permettre au destinataire de la comprendre, de l'attaquer utilement s'il y a lieu, et de permettre à l'autorité de recours d'exercer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Jurisprudence et informations de la Commission suisse de recours en matière d'asile [JICRA] 2006 no 4 consid. 5 p. 44 ss, JICRA 1995 no 12 consid. 12c p. 114 ss). En l'espèce, la Tribunal ne voit pas en quoi la motivation de l'ODM s'écarterait de ces règles. L'intéressé reproche en réalité à l'autorité de première instance son appréciation des faits et les conséquences de droit qu'elle en a tiré, grief qui ne permet aucunement de fonder une éventuelle cassation.</w:t>
      </w:r>
    </w:p>
    <w:p>
      <w:r>
        <w:rPr>
          <w:b/>
        </w:rPr>
        <w:t>E. 2.4</w:t>
      </w:r>
    </w:p>
    <w:p>
      <w:r>
        <w:t>Dès lors, la conclusion du recours tenant à la cassation de la décision attaquée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le sérieux et la crédibilité de ses motifs d'asile.</w:t>
      </w:r>
    </w:p>
    <w:p>
      <w:r>
        <w:rPr>
          <w:b/>
        </w:rPr>
        <w:t>E. 4.2</w:t>
      </w:r>
    </w:p>
    <w:p>
      <w:r>
        <w:t>Le premier et principal motif de cette carence est la production de trois documents falsifiés, émanant prétendument d'autorités judiciaires ou policières, et dont l'enquête menée par la voie diplomatique a établi l'absence de valeur probante ; le Tribunal peut légitimement en déduire qu'aucune autorité turque n'a jamais ouvert d'enquête contre le recourant, ni engagé de procédure pénale à son encontre. Dans ce contexte, l'attestation signée du président du BDP du district de E._______, à la teneur d'ailleurs très vague, doit être considérée comme un écrit de complaisance. En conséquence, l'existence d'un risque de persécution en cas de retour en Turquie est dépourvu de toute crédibilité. L'engagement peu intense du recourant pour le BDP est d'ailleurs de nature à rendre une telle éventualité improbable.</w:t>
      </w:r>
    </w:p>
    <w:p>
      <w:r>
        <w:rPr>
          <w:b/>
        </w:rPr>
        <w:t>E. 4.3</w:t>
      </w:r>
    </w:p>
    <w:p>
      <w:r>
        <w:t>Cette appréciation s'appuie également sur certaines incohérences du récit de l'intéressé. Ainsi, ce dernier a divergé sur la date de la manifestation ayant mené à son interpellation, bien qu'il se soit agi, au moment du dépôt de la demande, d'événements très récents ; les tentatives faites pour concilier ces versions, dans le mémoire de recours, ne sont pas convaincantes. Par ailleurs, tout indique que le recourant a soigneusement préparé son départ, dans ressentir la pression de l'urgence : la carte d'identité a été délivrée immédiatement avant le départ, de même que le passeport, à en croire l'intéressé ; or il est exclu que ce dernier document de voyage ait été obtenu en quelques jours à peine, ainsi qu'il le prétend. Le fait que le passeport ait disparu laisse d'ailleurs présumer qu'il contenait des indications incompatibles avec le récit du recourant. Enfin, il n'est pas crédible que l'intéressé ait été recherché par la police plus d'un an après sa courte interpellation, ni qu'il ait appris l'existence de ces recherches par une voie détournée, avant même qu'elles soient décidées.</w:t>
      </w:r>
    </w:p>
    <w:p>
      <w:r>
        <w:rPr>
          <w:b/>
        </w:rPr>
        <w:t>E. 4.4</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l'intéressé, comme déjà retenu, n'a pas établi la forte probabilité d'un risque de cette nature.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 Turquie, et spécialement la province de B._______, ne connaît pas une situation de guerre, de guerre civile ou de violence généralisée qui permettrait d'emblée - et indépendamment des circonstances du cas d'espèce - de présumer, à propos de tous les ressortissants du pays originaires de cette région, l'existence d'une mise en danger concrète au sens de l'art. 83 al. 4 LEtr.</w:t>
      </w:r>
    </w:p>
    <w:p>
      <w:r>
        <w:rPr>
          <w:b/>
        </w:rPr>
        <w:t>E. 8.3</w:t>
      </w:r>
    </w:p>
    <w:p>
      <w:r>
        <w:t>En outre, il ne ressort du dossier aucun élément dont on pourrait inférer que l'exécution du renvoi impliquerait une mise en danger concrète du recourant. A cet égard, l'autorité de céans relève qu'il est jeune, au bénéfice d'une expérience professionnelle et n'a pas allégué de problème de santé particulier. Au demeurant, il dispose d'un vaste réseau familial et social dans son pays, sur lequel il pourra compter à son retour, si bien qu'il n'est en rien exposé au dénuement dans une telle éventualité, ainsi qu'il le prétend (pt. 29 du recours).</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11.1</w:t>
      </w:r>
    </w:p>
    <w:p>
      <w:r>
        <w:t>Au vu de l'issue de la cause, et des frais d'enquête engagés, il y a lieu de mettre des frais de procédure augmentés à la charge du recourant, conformément aux art. 63 al. 1 PA et 2 e 3 let. b du règlement du 21 février 2008 concernant les frais, dépens et indemnités fixés par le Tribunal administratif fédéral (FITAF, RS 173.320.2).</w:t>
      </w:r>
    </w:p>
    <w:p>
      <w:r>
        <w:rPr>
          <w:b/>
        </w:rPr>
        <w:t>E. 11.2</w:t>
      </w:r>
    </w:p>
    <w:p>
      <w:r>
        <w:t>Il apparaît en outre nécessaire de confisquer les trois documents officiels produits (communication du procureur de B._______ du 9 février 2012, courrier du commandant de gendarmerie du district de D._______ du 6 août 2011, ordre du procureur de B._______ du 21 janvier 2013), dont le caractère falsifié est établi, en application de l'art. 10 al. 4 LAsi.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