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E-2820/2021 vom 8. September 2025</w:t>
      </w:r>
    </w:p>
    <w:p>
      <w:r>
        <w:t>Bundesverwaltungsgericht, 2025-09-08, DE</w:t>
      </w:r>
    </w:p>
    <w:p>
      <w:r>
        <w:rPr>
          <w:b/>
        </w:rPr>
        <w:t xml:space="preserve">Quelle: </w:t>
      </w:r>
      <w:r>
        <w:t>https://mcp.opencaselaw.ch/entscheid/bvger_E-2820_2021</w:t>
      </w:r>
    </w:p>
    <w:p>
      <w:r>
        <w:t>FR: TAF E-2820/2021 du 8 septembre 2025</w:t>
      </w:r>
    </w:p>
    <w:p>
      <w:r>
        <w:t>IT: TAF E-2820/2021 del 8 settembre 2025</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in der Regel – so auch vorliegend – endgültig (Art. 105 AsylG i.V.m. Art. 31–33 VGG; Art. 83 Bst. d Ziff. 1 BGG).</w:t>
      </w:r>
    </w:p>
    <w:p>
      <w:r>
        <w:t>E-2820/2021 Seite 5</w:t>
      </w:r>
    </w:p>
    <w:p>
      <w:r>
        <w:rPr>
          <w:b/>
        </w:rPr>
        <w:t>E. 1.2</w:t>
      </w:r>
    </w:p>
    <w:p>
      <w:r>
        <w:t>Das Verfahren richtet sich nach dem VwVG, dem VGG und dem BGG, soweit das AsylG nichts anderes bestimmt (Art. 37 VGG und Art. 6 AsylG).</w:t>
      </w:r>
    </w:p>
    <w:p>
      <w:r>
        <w:rPr>
          <w:b/>
        </w:rPr>
        <w:t>E. 1.3</w:t>
      </w:r>
    </w:p>
    <w:p>
      <w:r>
        <w:t>Die Beschwerdeführenden sind legitimiert; auf ihre frist- und formge- recht eingereichte Beschwerde ist einzutreten (Art. 105 und Art. 108 Abs. 6 AsylG; Art. 37 VGG i.V.m. Art. 48 Abs. 1 und Art. 52 Abs. 1 VwVG).</w:t>
      </w:r>
    </w:p>
    <w:p>
      <w:r>
        <w:rPr>
          <w:b/>
        </w:rPr>
        <w:t>E. 2</w:t>
      </w:r>
    </w:p>
    <w:p>
      <w:r>
        <w:t>Die Kognition des Bundesverwaltungsgerichts und die zulässigen Rügen richten sich im Asylbereich nach Art. 106 Abs. 1 AsylG (vgl. BVGE 2014/26 E. 5).</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 Das Urteil ist nur summarisch zu begründen (Art. 111a Abs. 2 AsylG).</w:t>
      </w:r>
    </w:p>
    <w:p>
      <w:r>
        <w:rPr>
          <w:b/>
        </w:rPr>
        <w:t>E. 4</w:t>
      </w:r>
    </w:p>
    <w:p>
      <w:r>
        <w:t>Die Beschwerdeeingabe richtet sich sinngemäss ausschliesslich gegen die Ablehnung des Mehrfachgesuchs, die Feststellung des SEM, die Be- schwerdeführenden würden die Flüchtlingseigenschaft nicht erfüllen, so- wie die Anordnung der Wegweisung. Die Frage des Vollzugs der Wegwei- sung ist nicht Gegenstand des Beschwerdeverfahrens.</w:t>
      </w:r>
    </w:p>
    <w:p>
      <w:r>
        <w:rPr>
          <w:b/>
        </w:rPr>
        <w:t>E. 5.1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w:t>
      </w:r>
    </w:p>
    <w:p>
      <w:r>
        <w:t>E-2820/2021 Seite 6 widersprüchlich sind, den Tatsachen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al-Asad, wodurch die mehr als fünfzigjährige Herrschaft der Asad-Familie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ist der Ausgangspunkt die im Zeitpunkt der Ausreise der asylsuchenden Person bestehende Verfol- gungssituation. Nach Lehre und Praxis wird jedoch dann auf die</w:t>
      </w:r>
    </w:p>
    <w:p>
      <w:r>
        <w:t>E-2820/2021 Seite 7 Gefährdungslage im Moment des Asylentscheides abgestellt, wenn sich die Lage im Heimatstaat zwischen Ausreise und Asylentscheid massge- 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gutzuheissen, soweit die Aufhebung der Dispositivziffern 1-3 der angefochtenen Verfügung vom 17. Mai 2021 und die Rückweisung zur Neubeurteilung an die Vorinstanz beantragt werden. Das SEM ist aufzufordern, die erforderlichen Massnahmen durchzuführen und gestützt auf die entsprechenden Erkenntnisse das Asylgesuch der Beschwerdeführenden erneut zu prüfen.</w:t>
      </w:r>
    </w:p>
    <w:p>
      <w:r>
        <w:rPr>
          <w:b/>
        </w:rPr>
        <w:t>E. 8</w:t>
      </w:r>
    </w:p>
    <w:p>
      <w:r>
        <w:t>Dezember 2024 vorzunehmen. Sondern es ist auch danach zu fragen, inwiefern sich die betreffenden Veränderungen der Lage im Heimatstaat auf die von den Beschwerdeführenden geltend gemachten Asylgründe auswirken. Eine solche umfassende Beurteilung eines grundlegend verän- derten Sachverhalts ist nicht auf Beschwerdeebene, sondern im Rahmen eines erstinstanzlichen Verfahrens durch das SEM vorzunehmen. Es recht- fertigt sich deshalb eine Kassation der angefochtenen Verfügung. Dabei wird durch die Vorinstanz bei der Abklärung des Sachverhalts zum einen die erforderliche allgemeine Lagebeurteilung vorzunehmen, zum anderen den Beschwerdeführenden in angemessener Weise das rechtliche Gehör zu erteilen sein. Im Übrigen bleibt auf diese Weise der Instanzenzug erhal- ten, was umso wesentlicher ist, als das Bundesverwaltungsgericht im An- wendungsbereich des AsylG als einzige gerichtliche Behörde und mithin letztinstanzlich entscheidet. 7. Nach dem Gesagten ist die Beschwerde gutzuheissen, soweit die Aufhe- bung der Dispositivziffern 1–3 der angefochtenen Verfügung vom 17. Mai 2021 und die Rückweisung zur Neubeurteilung an die Vorinstanz beantragt werden. Das SEM ist aufzufordern, die erforderlichen Massnahmen</w:t>
      </w:r>
    </w:p>
    <w:p>
      <w:r>
        <w:t>E-2820/2021 Seite 8 durchzuführen und gestützt auf die entsprechenden Erkenntnisse das Asyl- gesuch der Beschwerdeführenden erneut zu prüfen.</w:t>
      </w:r>
    </w:p>
    <w:p>
      <w:r>
        <w:rPr>
          <w:b/>
        </w:rPr>
        <w:t>E. 8.1</w:t>
      </w:r>
    </w:p>
    <w:p>
      <w:r>
        <w:t>Bei diesem Ausgang des Verfahrens sind keine Kosten zu erheben (Art. 63 Abs. 3 VwVG i.V.m. Art. 37 VGG). Der mit der Beschwerdeschrift gestellte Antrag auf Gewährung der unentgeltlichen Prozessführung (inkl. Verzicht auf die Erhebung eines Kostenvorschusses) wird damit ge- genstandslos.</w:t>
      </w:r>
    </w:p>
    <w:p>
      <w:r>
        <w:rPr>
          <w:b/>
        </w:rPr>
        <w:t>E. 8.2</w:t>
      </w:r>
    </w:p>
    <w:p>
      <w:r>
        <w:t>Den nicht vertretenen Beschwerdeführenden wäre in Anwendung von Art. 64 VwVG und Art. 7 Abs. 1 des Reglements vom 21. Februar 2008 über die Kosten und Entschädigungen vor dem Bundesverwaltungsgericht (VGKE, SR 173.320.2) eine Entschädigung für die ihnen notwendiger- weise erwachsenen Parteikosten auszurichten. Da ihnen keine Kosten ent- standen sind, ist keine Parteientschädigung auszurichten (Art. 7 Abs. 4 VGKE). (Dispositiv nächste Seite)</w:t>
      </w:r>
    </w:p>
    <w:p>
      <w:r>
        <w:t>E-2820/2021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