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E-281/2020 vom 26. Februar 2020</w:t>
      </w:r>
    </w:p>
    <w:p>
      <w:r>
        <w:t>Bundesverwaltungsgericht, 2020-02-26, DE</w:t>
      </w:r>
    </w:p>
    <w:p>
      <w:r>
        <w:rPr>
          <w:b/>
        </w:rPr>
        <w:t xml:space="preserve">Quelle: </w:t>
      </w:r>
      <w:r>
        <w:t>https://mcp.opencaselaw.ch/entscheid/bvger_E-281_2020</w:t>
      </w:r>
    </w:p>
    <w:p>
      <w:r>
        <w:t>FR: TAF E-281/2020 du 26 février 2020</w:t>
      </w:r>
    </w:p>
    <w:p>
      <w:r>
        <w:t>IT: TAF E-281/2020 del 26 febbraio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bis auf nachfolgende Erwägungen einzutreten.</w:t>
      </w:r>
    </w:p>
    <w:p>
      <w:r>
        <w:rPr>
          <w:b/>
        </w:rPr>
        <w:t>E. 2</w:t>
      </w:r>
    </w:p>
    <w:p>
      <w:r>
        <w:t>Der Beschwerde kommt von Gesetzes wegen aufschiebende Wirkung zu (vgl. Art. 42 AsylG und Art. 55 Abs. 1 VwVG) und die Vorinstanz hat diese vorliegend nicht entzogen. Auf den diesbezüglichen Antrag ist daher nicht einzutreten.</w:t>
      </w:r>
    </w:p>
    <w:p>
      <w:r>
        <w:rPr>
          <w:b/>
        </w:rPr>
        <w:t>E. 3</w:t>
      </w:r>
    </w:p>
    <w:p>
      <w:r>
        <w:t>Die Formularbeschwerde enthält zwar die Rechtsbegehren 1 und 2 (vgl. Sachverhalt, Ziffer C). Hingegen ist in der Begründung der Formularbeschwerde die Überschrift zu beiden Rechtsbegehren durchgestrichen ebenso der damit zusammenhängende Formularsatz, das Asylgesuch sei vollumfänglich zu prüfen. Handschriftlich wurde die Überschrift mit dem Wortlaut: «Undurchführbarkeit des Vollzugs» betitelt. Auch die vom Beschwerdeführer eingefügte Begründung richtet sich ausschliesslich gegen den von der Vorinstanz angeordneten Vollzug der Wegweisung. Die Dispositivziffern 1-3 der angefochtenen Verfügung des SEM (die Verneinung der Flüchtlingseigenschaft, die Ablehnung des Asylgesuchs sowie die Wegweisung aus der Schweiz) sind daher mangels Anfechtung in Rechtskraft erwachsen und bilden nicht Gegenstand des vorliegenden Verfahrens.</w:t>
      </w:r>
    </w:p>
    <w:p>
      <w:r>
        <w:rPr>
          <w:b/>
        </w:rPr>
        <w:t>E. 4</w:t>
      </w:r>
    </w:p>
    <w:p>
      <w:r>
        <w:t>Die Kognition des Bundesverwaltungsgerichts und die zulässigen Rügen richten sich im Wegweisungsvollzugspunkt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6.1</w:t>
      </w:r>
    </w:p>
    <w:p>
      <w:r>
        <w:t>In der Beschwerde wird in einem ersten Teil gerügt, das SEM habe den Beschwerdeführer zu Unrecht im vorinstanzlichen Verfahren als volljährig eingestuft und ihm in der Folge keine Vertrauensperson beigeordnet. Diese Rüge ist vorliegend vorab zu prüfen.</w:t>
      </w:r>
    </w:p>
    <w:p>
      <w:r>
        <w:rPr>
          <w:b/>
        </w:rPr>
        <w:t>E. 6.2</w:t>
      </w:r>
    </w:p>
    <w:p>
      <w:r>
        <w:t>Der Beschwerdeführer stellte sich in seiner Beschwerdeschrift auf den Standpunkt, es könne ihm keine Verletzung der Mitwirkungspflicht bezüglich seiner Altersangaben vorgeworfen werden, zumal er kein korrektes Verfahren gehabt habe. Er habe übereinstimmend zu Protokoll gegeben, dass er am (...) geboren und somit (...) Jahre alt gewesen sei, als er in der Schweiz sein Asylgesuch eingereicht habe. Mit dem Vorhalt, sein Erscheinungsbild sowie die Knochenaltersanalyse würden für seine Volljährigkeit sprechen, habe das SEM das Erlaubte in mehrfacher Hinsicht überschritten. Der Augenschein dürfe praxisgemäss bei einer Alterseinschätzung keine Rolle spielen. Er habe in seiner Kindheit und seiner Jungend zu wenig Essen gehabt, weshalb er wohl älter aussehe. Sodann habe er sich während der Anhörung nicht getraut, viel zu sprechen, da die Menschen alle weiss und älter gewesen seien als er. Dennoch habe er viele Details nennen können.</w:t>
      </w:r>
    </w:p>
    <w:p>
      <w:r>
        <w:rPr>
          <w:b/>
        </w:rPr>
        <w:t>E. 6.3</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Entscheidungen und Mitteilungen der Schweizerischen Asylrekurskommission [EMARK] 2004 Nr. 30 E. 5.2). Im Rahmen einer Gesamtwürdigung ist eine Abwägung aller Anhaltspunkte, die für oder gegen die Richtigkeit der betreffenden Altersangabe sprechen, vorzunehmen (vgl. BVGE 2009/54 E. 4.1).</w:t>
      </w:r>
    </w:p>
    <w:p>
      <w:r>
        <w:rPr>
          <w:b/>
        </w:rPr>
        <w:t>E. 6.4</w:t>
      </w:r>
    </w:p>
    <w:p>
      <w:r>
        <w:t>Bestehen Hinweise, dass eine angeblich minderjährige asylsuchende Person das Mündigkeitsalter bereits erreicht hat, so kann das SEM ein Altersgutachten veranlassen (Art. 17 Abs. 3bis AsylG). Hierbei soll abgeklärt werden, ob die Altersangabe der asylsuchenden Person dem tatsächlichen Alter entspricht (Art. 7 Abs. 1 der Asylverordnung 1 vom 11. August 1999 [AsylV1, SR 142.311]). Die asylsuchende Person hat bei der entsprechenden Sachverhaltsfeststellung mitzuwirken.</w:t>
      </w:r>
    </w:p>
    <w:p>
      <w:r>
        <w:rPr>
          <w:b/>
        </w:rPr>
        <w:t>E. 6.5</w:t>
      </w:r>
    </w:p>
    <w:p>
      <w:r>
        <w:t>Der Beschwerdeführer gab auf dem «Personalienblatt Empfangs- und Verfahrenszentrum» am 11. Juli 2017 als Geburtsdatum den (...) an (vgl. act. A5). Wegen Zweifeln an der Minderjährigkeit des Beschwerdeführers gab das SEM am 13. Juli 2017 eine Handknochenanalyse in Auftrag. Die radiologische Untersuchung ergab gemäss Befund vom 14. Juli 2017 ein Knochenalter von "(...) Jahren oder älter." Anlässlich der BzP vom 25. Juli 2017 hielt er am angegebenen Geburtsdatum fest und gab an, dass ihm sein Grossvater das Geburtsdatum gesagt habe (vgl. act. A12, Ziff. 1.06). Im damaligen Zeitpunkt betrug die Abweichung zwischen dem vom Beschwerdeführer behaupteten Alter ([...] Jahre und [...] Monate) und dem Alter gemäss der Knochenanalyse somit mindestens (...). Diese Abweichung liegt damit deutlich über der gemäss Bericht zu erwartenden doppelten Standardabweichung von +/- 12 Monaten. Eine Standardabweichung zwischen dem Knochenalter und dem tatsächlichen Alter von zweieinhalb bis höchstens drei Jahren gilt gemäss Rechtsprechung noch als innerhalb des Normalbereichs liegend. In denjenigen Fällen, in denen das vom Betreffenden behauptete Alter im Vergleich zum festgestellten Knochenalter innerhalb dieser Abweichung liegt, lässt eine Knochenaltersanalyse nicht automatisch den Rückschluss zu, die Angaben beruhten auf Täuschung (vgl. EMARK 2000 Nr. 19; 2001 Nr. 23; 2004 Nr. 30). Angesichts der vorliegenden Altersabweichung von (...) ist die durchgeführte Handknochenanalyse mithin kein allein ausschlaggebendes Element für die Beurteilung der Volljährigkeit des Beschwerdeführers. Ohnehin kommt nicht der Handknochenanalyse, sondern den eigenen Angaben der ihre Minderjährigkeit behauptenden Person zum Alter und zur allfällig unterbliebenen Abgabe von Identitätspapieren in aller Regel entscheidende Bedeutung zu.</w:t>
      </w:r>
    </w:p>
    <w:p>
      <w:r>
        <w:rPr>
          <w:b/>
        </w:rPr>
        <w:t>E. 6.6</w:t>
      </w:r>
    </w:p>
    <w:p>
      <w:r>
        <w:t>Im Rahmen der notwendigen Gesamtbeurteilung ist zwar zu berücksichtigen, dass der Beschwerdeführer durchgängig an seiner Altersangabe festgehalten und keine widersprüchlichen Angaben zu seinen Familienangehörigen gemacht hat. Im Resultat kommt das Bundesverwaltungsgericht dennoch zum Schluss, dass die Annahme des SEM, dass der Beschwerdeführer zum Zeitpunkt seines Asylgesuchs entgegen seiner Angaben bereits volljährig gewesen sei, zu stützen ist. Der Beschwerdeführer hat während des gesamten Verfahrens keine Dokumente (Reise-, Identitätspapiere oder andere Beweismittel) eingereicht, welche die behauptete Minderjährigkeit glaubhaft machen beziehungsweise Rückschlüsse auf seine Identität zulassen würden. Seine Erklärung in der Anhörung, dass er nicht einmal versucht habe, Identitätspapiere oder andere Dokumente zu beschaffen, da er nie solche gehabt habe, ist wenig nachvollziehbar. Genauso verhält es sich mit seinem Einwand, dass er seine im Heimatstaat lebende Schwester nicht um Hilfe angefragt habe, für ihn Dokumente zu beschaffen, weil der Grossvater sehr krank gewesen sei (act. A39, F5 ff.). Das Gericht folgt daher der Annahme, dass der Beschwerdeführer zum Zeitpunkt seines vorinstanzlichen Asylverfahrens volljährig war. Ohnehin wäre der Beschwerdeführer selbst nach seinen Altersangaben am Tag der einlässlichen Anhörung nach Art. 29 AsylG volljährig gewesen.</w:t>
      </w:r>
    </w:p>
    <w:p>
      <w:r>
        <w:rPr>
          <w:b/>
        </w:rPr>
        <w:t>E. 6.7</w:t>
      </w:r>
    </w:p>
    <w:p>
      <w:r>
        <w:t>Zudem wird in der Beschwerde beanstandet, dass nicht die gleiche Person die Anhörung durchgeführt und den Entscheid verfasst habe. Es ist durchaus wünschenswert, dass die Anhörung von derselben Person durchgeführt wird, die über das Asylgesuch (mit-)befindet. Es gibt jedoch keine gesetzliche Verpflichtung der Vorinstanz, dies immer so zu handhaben; eine solche Verpflichtung ergibt sich auch aus dem Anspruch auf rechtliches Gehör nicht (vgl. Urteil des BVGer E-1277/2018 vom 3. April 2018 E. 4.3). Überdies ist nicht ersichtlich und wird vom Beschwerdeführer auch nicht substantiiert dargelegt, inwiefern ihm aus der Behandlung seines Asylgesuchs durch verschiedene Personen ein konkreter Nachteil entstanden sein soll.</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Das SEM führte zur Begründung seiner Verfügung im Vollzugspunkt aus, der Grundsatz der Nichtrückschiebung gemäss Art. 5 Abs. 1 AsylG könne nicht angewendet werden, und es würden sich aus den Akten keine Anhaltspunkte dafür ergeben, dass dem Beschwerdeführer in seinem Heimatstaat mit beachtlicher Wahrscheinlichkeit eine durch Art. 3 EMRK verbotene Strafe oder Behandlung drohe. Weder die in seinem Heimatstaat herrschende politische Situation noch andere Gründe sprächen gegen die Zumutbarkeit der Rückführung. Im Februar 2017 seien Proteste von Tausenden meist jugendlicher Demonstranten in der Hauptstadt Conakry in einem Gewaltausbruch kulminiert. Sicherheitskräfte hätten mindestens sieben Personen erschossen, 30 Personen seien verletzt und zahlreiche Protestierende inhaftiert worden. Den Ereignissen seien die Verschiebung von Wahlen, ein Streik der Lehrergewerkschaften, die Schliessung der Schulen sowie ethnische Spannungen zugrunde gelegen. Im Nachgang an die Wahlen auf Gemeindeebene von Februar 2018 sei es in Conakry und anderen grösseren Städten erneut zu grossen Protesten gekommen. Die Opposition habe massiven Wahlbetrug geltend gemacht. Die Proteste hätten mehrere Verletzte und Tote gefordert und zahlreiche Demonstranten seien festgenommen worden. Vereinzelte gewaltsame Zusammenstösse könnten zwar auch künftig nicht ausgeschlossen werden. Trotzdem herrsche in Guinea keine Situation von Krieg, Bürgerkrieg oder allgemeiner Gewalt im Sinne von Art. 83 Abs. 4 AIG. Der Beschwerdeführer mache zusammenfassend geltend, abgesehen von einer verwitweten und mittellosen Schwester, keine Angehörigen im Heimatland zu haben. Da er aber unglaubhafte Angaben zu seiner Identität, seinem Alter und seiner persönlichen und familiären Situation in Guinea gemacht habe, könne sich die Asylbehörde demnach nicht in voller Kenntnis seiner tatsächlichen persönlichen und familiären Situation zur Zumutbarkeit des Wegweisungsvollzugs äussern. Die Untersuchungspflicht finde ihre Grenze an der Mitwirkungs- und Wahrheitspflicht der Gesuchsteller; bei einer Verletzung dieser Pflichten und fehlenden Hinweisen sei es nicht Aufgabe der Asylbehörden, nach allfälligen Wegweisungshindernissen zu forschen. Im Übrigen handle es ich beim Beschwerdeführer um einen jungen und gesunden Mann, der über gewisse berufliche Erfahrung verfüge. Der Vollzug der Wegweisung sei mithin zulässig, zumutbar und möglich.</w:t>
      </w:r>
    </w:p>
    <w:p>
      <w:r>
        <w:rPr>
          <w:b/>
        </w:rPr>
        <w:t>E. 8.2</w:t>
      </w:r>
    </w:p>
    <w:p>
      <w:r>
        <w:t>Der Beschwerdeführer hielt dem auf Beschwerdeebene entgegen, dass er im Falle einer Rückkehr in eine Notlage gerate, da er abgesehen von der Schwester keine Verwandten habe, auf deren Unterstützung er zählen könne. Seine Schwester habe ihren Mann verloren und sei alleinerziehend. Es ginge ihr sehr schlecht. Da auch sein Grossvater verstorben sei, habe er niemanden der ihm helfen könne.</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Guinea lässt den Wegweisungsvollzug zum heutigen Zeitpunkt nicht als unzulässig erscheinen.</w:t>
      </w:r>
    </w:p>
    <w:p>
      <w:r>
        <w:rPr>
          <w:b/>
        </w:rPr>
        <w:t>E. 9.3</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10.1.1</w:t>
      </w:r>
    </w:p>
    <w:p>
      <w:r>
        <w:t>Die Vorinstanz führte zutreffend aus, dass weder die herrschende politische Situation in Guinea noch andere Gründe gegen den Vollzug der Wegweisung sprächen. Es herrsche in Guinea keine Situation von Krieg oder allgemeiner Gewalt. Diesbezüglich kann auf die Erwägungen in der angefochtenen Verfügung verwiesen werden (Verfügung S. 4, vgl. E. 8.1). Hinsichtlich der individuellen Situation des Beschwerdeführers ist festzustellen, dass es sich um einen jungen Mann handelt, der keine gesundheitlichen Beeinträchtigungen geltend macht. Er verfügt über keine Ausbildung, beherrscht aber Leben und Schreiben und verfügt eigenen Angaben gemäss bereits über Arbeitserfahrung als (...). Das Bundesverwaltungsgericht verkennt nicht, dass die Lebensbedingungen für den Beschwerdeführer in Guinea schwierig gewesen sind, dennoch zeigen die Vorbringen des Beschwerdeführers, dass er schon in jungen Jahren in der Lage war, für seinen Lebensunterhalt aufzukommen. Soweit der Beschwerdeführer geltend macht, sein Grossvater sei mittlerweile verstorben und könne ihn nicht mehr unterstützen, ändert dies an der Einschätzung der Zumutbarkeit des Wegweisungsvollzuges nichts. Der mittlerweile volljährige Beschwerdeführer hat eine Schwester im Heimatstaat, mit der er auch nach seiner Ausreise Kontakt pflegt. Bezüglich der Schwester ist zudem anzumerken, dass der Beschwerdeführer bereits im Rahmen der Anhörung erwähnte, dass der Mann der Schwester verstorben sei, es ihr aber gut gehe und sie als Schneiderin arbeite (vgl. SEM-act., A39, F12, F17 ff.). Gemäss eigenen Aussagen weiss er nichts über das Vorhandensein von Verwandten im Heimatland hat auch sonst keine Angehörigen. Ungeachtet der Frage der Glaubhaftigkeit dieser Angaben, verfügt er eigenen Angaben gemäss über mehrere Freunde, mit denen er noch im Kontakt steht. Auch hat er seine Ausreise mit der Unterstützung von einem Freund finanzieren können. Besondere individuelle Umstände, aufgrund derer bei einer Rückkehr nach Guinea von einer existenziellen Bedrohung ausgegangen werden müsste, sind den Akten nicht zu entnehmen. Es ist mithin davon auszugehen, dass ihm eine soziale und wirtschaftliche Reintegration gelingen wird. Auch in der Rechtsmitteleingabe werden keine Umstände geltend gemacht, die im vorliegenden Einzelfall zur Annahme einer existenziellen Gefährdung in seinem Heimatland führen könnten. Nach dem Gesagten erweist sich der Vollzug der Wegweisung auch als zumutbar.</w:t>
      </w:r>
    </w:p>
    <w:p>
      <w:r>
        <w:rPr>
          <w:b/>
        </w:rPr>
        <w:t>E. 10.2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mit der Beschwerde gestellte Gesuch um unentgeltliche Rechtspflege ist zufolge Aussichtslosigkeit der Begehren abzuweisen (vgl. Art. 65 Abs. 1 VwVG i.V.m. aArt. 110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