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E-2819/2024 vom 14. Mai 2024</w:t>
      </w:r>
    </w:p>
    <w:p>
      <w:r>
        <w:t>Bundesverwaltungsgericht, 2024-05-14, DE</w:t>
      </w:r>
    </w:p>
    <w:p>
      <w:r>
        <w:rPr>
          <w:b/>
        </w:rPr>
        <w:t xml:space="preserve">Quelle: </w:t>
      </w:r>
      <w:r>
        <w:t>https://mcp.opencaselaw.ch/entscheid/bvger_E-2819_2024</w:t>
      </w:r>
    </w:p>
    <w:p>
      <w:r>
        <w:t>FR: TAF E-2819/2024 du 14 mai 2024</w:t>
      </w:r>
    </w:p>
    <w:p>
      <w:r>
        <w:t>IT: TAF E-2819/2024 del 14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 im Ausländerrecht nach Art. 49 VwVG.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E-2819/2024 Seite 5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5.1</w:t>
      </w:r>
    </w:p>
    <w:p>
      <w:r>
        <w:t>In der angefochtenen Verfügung hielt das SEM fest, es sei angesichts der erlittenen Beeinträchtigungen des Auges nicht in Abrede zu stellen, dass sich die faktische Lebenssituation des Beschwerdeführers als schwierig erweise. Dennoch sei festzuhalten, dass nicht davon ausgegan- gen werden könne, dass die türkischen Behörden es auf den Beschwerde- führer persönlich abgesehen hätten, vielmehr stehe das ganze Geschehen der genannten Kundgebung in deren Fokus. Dass ausgerechnet er dabei getroffen worden sei, sei zwar äusserst bedauerlich, jedoch mit keiner per- sönlichen Bedrohungslage verbunden. Darüber hinaus sei dieses Ereignis bereits über zehn Jahre her, wobei er in der Zwischenzeit keiner ernsthaf- ten Bedrohungslage ausgesetzt gewesen sei. Darüber hinaus sei es ihm möglich gewesen, rechtliche Schritte einzuleiten, indem seine Mutter ge- gen den Polizeibeamten eine Strafanzeige gemacht habe. Ferner habe er beim Europäischen Gerichtshof für Menschenrechte eine Anzeige erstat- ten können (vgl. A15 F1 03).</w:t>
      </w:r>
    </w:p>
    <w:p>
      <w:r>
        <w:t>Somit seien diese Vorbringen asylrechtlich nicht relevant.</w:t>
      </w:r>
    </w:p>
    <w:p>
      <w:r>
        <w:rPr>
          <w:b/>
        </w:rPr>
        <w:t>E. 5.2</w:t>
      </w:r>
    </w:p>
    <w:p>
      <w:r>
        <w:t>Im Weiteren habe der Beschwerdeführer geltend gemacht, dass im Zeitraum von 2010 bis 2020 gegen ihn mehrere Verfahren eröffnet worden seien. Zudem habe er regelmässig gerichtliche Vorladungen erhalten. Es bestehe kein Grund zur Annahme, dass der Beschwerdeführer im Zu- sammenhang mit den früheren Strafverfahren mit beachtlicher</w:t>
      </w:r>
    </w:p>
    <w:p>
      <w:r>
        <w:t>E-2819/2024 Seite 6 Wahrscheinlichkeit und in absehbarer Zukunft von flüchtlingsrechtlich relevanter Verfolgung betroffen werden könnte.</w:t>
      </w:r>
    </w:p>
    <w:p>
      <w:r>
        <w:rPr>
          <w:b/>
        </w:rPr>
        <w:t>E. 5.3</w:t>
      </w:r>
    </w:p>
    <w:p>
      <w:r>
        <w:t>Hinsichtlich der weiteren Vorbringen, in der Türkei als Angehöriger der kurdischen Bevölkerung Benachteiligungen ausgesetzt zu sein, sei festzu- halten, dass Angehörige der kurdischen Bevölkerung bekanntermassen in der Türkei Schikanen und Benachteiligungen ausgesetzt seien. Hierbei handle es sich jedoch nicht um ernsthafte Nachteile im Sinne des Asylge- setzes, die einen Verbleib im Heimatland verunmöglichten oder unzumut- bar erschwerten. Aus diesem Grund führe die allgemeine Situation, in der sich die kurdische Bevölkerung befinde, gemäss gefestigter Praxis für sich allein nicht zur Anerkennung der Flüchtlingseigenschaft. Diese Einschät- zung gelte trotz der sich nach dem Putschversuch im Juli 2016 allgemein verschlechternden Menschenrechtslage, von der auch die Kurden, insbe- sondere im Südosten der Türkei, betroffen seien. Auch die im vorliegenden Fall geltend gemachten Diskriminierungen und Kontrollen reichten in ihrer Intensität nicht über die Nachteile hinaus, welche weite Teile der kurdi- schen Bevölkerung in der Türkei in ähnlicher Weise betreffen könnten.</w:t>
      </w:r>
    </w:p>
    <w:p>
      <w:r>
        <w:rPr>
          <w:b/>
        </w:rPr>
        <w:t>E. 5.4</w:t>
      </w:r>
    </w:p>
    <w:p>
      <w:r>
        <w:t>Aus diesen Gründen seien die Vorbringen des Beschwerdeführers nicht asylrelevant und es könne darauf verzichtet werden, diese auf ihre Glaubhaftigkeit zu prüfen.</w:t>
      </w:r>
    </w:p>
    <w:p>
      <w:r>
        <w:rPr>
          <w:b/>
        </w:rPr>
        <w:t>E. 6</w:t>
      </w:r>
    </w:p>
    <w:p>
      <w:r>
        <w:t>Das Bundesverwaltungsgericht gelangt zum Schluss, dass die angefoch- tene Verfügung zu stützen ist. Das SEM ist darin mit ausführlicher und überzeugender Begründung zum Schluss gelangt, dass die Vorbringen des Beschwerdeführers die Voraussetzungen von Art. 3 AsylG nicht erfüllen. Zur Vermeidung von Wiederholungen kann daher – mit den nachfolgenden Ergänzungen – vollständig auf die zutreffenden Erwägungen der Vo- rinstanz gemäss obiger Zusammenfassung (vgl. E. 5.1- E. 5.4) verwiesen werden. In der Beschwerdeeingabe werden im Wesentlichen lediglich die bereits im Rahmen des vorinstanzlichen Verfahrens geltend gemachten Vorbringen wiederholt und damit nichts dargetan, was zu einer anderen Einschätzung führen könnte. Ergänzend ist auf Folgendes zu verweisen:</w:t>
      </w:r>
    </w:p>
    <w:p>
      <w:r>
        <w:rPr>
          <w:b/>
        </w:rPr>
        <w:t>E. 6.1</w:t>
      </w:r>
    </w:p>
    <w:p>
      <w:r>
        <w:t>Vorab ist in formeller Hinsicht festzuhalten, dass entgegen der Auffas- sung des Beschwerdeführers die vorinstanzliche Sachverhaltsfeststellung nicht zu beanstanden ist und die Vorinstanz auch alle rechtserheblichen Aspekte berücksichtigt hat. Mangels Asylrelevanz war das SEM auch nicht gehalten, auf die zu einer Drittperson vorgebrachten Ausführungen näher</w:t>
      </w:r>
    </w:p>
    <w:p>
      <w:r>
        <w:t>E-2819/2024 Seite 7 einzugehen. Letztlich hat sie auch das Risikoprofil des Beschwerdeführers rechtsgenügend geprüft. Der blosse Umstand, dass der Beschwerdeführer dies subjektiv anders beurteilt, begründet keine Rechtsverletzung.</w:t>
      </w:r>
    </w:p>
    <w:p>
      <w:r>
        <w:rPr>
          <w:b/>
        </w:rPr>
        <w:t>E. 6.2</w:t>
      </w:r>
    </w:p>
    <w:p>
      <w:r>
        <w:t>In materieller Hinsicht ist in Bezug auf die Verletzung am Auge festzu- halten, dass diese, wie das SEM zu Recht ausführte, bloss im Rahmen eines allgemeinen Geschehens während einer Manifestation erfolgte und keine gezielte, individuelle Massnahme gegen den Beschwerdeführer selbst darstellte. Dies zumal er damals erst (…)-jährig war. Dass der Be- schwerdeführer dies selbst auch nicht als individuelle Verfolgungslage ein- stufte, ist illustrativ daran zu erkennen, dass er hiernach deswegen Zivil- forderungen geltend gemacht sowie einen Polizisten angezeigt hat. Er of- fenbart damit ein Verhalten, das nicht auf das Vorliegen einer Furcht vor damit verbundenen Behelligungen schliesst; zumal er auch noch eine An- zeige beim Europäischen Gerichtshof erstattet hat. Ferner hat ihm der tür- kische Staat eine finanzielle Entschädigungszahlung für die Verletzung am Auge angeboten beziehungsweise ihm effektiv eine Rente zugesprochen, was ebenfalls offenkundig nicht auf eine Verfolgungslage hindeutet. Weiter ist mit der Vorinstanz festzuhalten, dass der Beschwerdeführer zwar 2020, mithin vor vier Jahren, zu einer Jugendstrafe verurteilt wurde, diese indes ausdrücklich zur Bewährung ausgesetzt wurde und die Bewährungs- frist alsbald ausläuft. Bereits die Gewährung der Rechtswohltat einer nur bewährten Strafe zeigt, dass der Beschwerdeführer keine Rechtsnachteile gegenüber der türkischen Justiz zu gewärtigen hatte. Zwischenzeitlich wur- den auch keine weiteren Verfahren gegen ihn eröffnet. Die allgemeinen Schikanen von kurdischen Personen sind nicht asylrelevant. Ferner ist er nach 2020 noch mehrere Jahre im Land verblieben; und dies, ohne Behel- ligungen erlitten zu haben. Vor diesem Hintergrund kommt somit der Ju- gendstrafe von 2020 objektiv offenkundig keine Asylrelevanz zu. Letztlich erfolgte die Ausreise legal über den Flughafen Istanbul, was weder in sub- jektiver noch in objektiver Hinsicht auf eine begründete Furcht schliessen lässt.</w:t>
      </w:r>
    </w:p>
    <w:p>
      <w:r>
        <w:rPr>
          <w:b/>
        </w:rPr>
        <w:t>E. 6.3</w:t>
      </w:r>
    </w:p>
    <w:p>
      <w:r>
        <w:t>Aus diesen Erwägungen ergibt sich, dass das SEM zu Recht die Flüchtlingseigenschaft des Beschwerdeführers verneint und dessen Asyl- gesuch abgewiesen hat.</w:t>
      </w:r>
    </w:p>
    <w:p>
      <w:r>
        <w:rPr>
          <w:b/>
        </w:rPr>
        <w:t>E. 7.1</w:t>
      </w:r>
    </w:p>
    <w:p>
      <w:r>
        <w:t>Lehnt das Bundesamt das Asylgesuch ab oder tritt es nicht darauf ein, so verfügt es in der Regel die Wegweisung aus der Schweiz und ordnet</w:t>
      </w:r>
    </w:p>
    <w:p>
      <w:r>
        <w:t>E-2819/2024 Seite 8 den Vollzug an; es berücksichtigt dabei den Grundsatz der Einheit der Fa- milie (Art. 44 AsylG).</w:t>
      </w:r>
    </w:p>
    <w:p>
      <w:r>
        <w:rPr>
          <w:b/>
        </w:rPr>
        <w:t>E. 7.2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7.3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7.3.1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in seinen Heimatstaat ist demnach unter dem Aspekt von Art. 5 AsylG rechtmässig. Sodann ergeben sich weder aus den Aussagen des Be- schwerdeführers noch aus den Akten Anhaltspunkte dafür, dass er für den</w:t>
      </w:r>
    </w:p>
    <w:p>
      <w:r>
        <w:t>E-2819/2024 Seite 9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w:t>
      </w:r>
    </w:p>
    <w:p>
      <w:r>
        <w:rPr>
          <w:b/>
        </w:rPr>
        <w:t>E. 7.3.2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7.3.3</w:t>
      </w:r>
    </w:p>
    <w:p>
      <w:r>
        <w:t>Das SEM begründete die Zumutbarkeit des Wegweisungsvollzugs damit, dass weder die allgemeine Lage im Heimatstaat noch individuelle Faktoren gegen die Zumutbarkeit sprächen. Namentlich nach der Nieder- schlagung des Militärputschversuches vom 15./16. Juli 2016 herrsche in der Türkei keine landesweite Situation allgemeiner Gewalt im Sinne von Art. 83 Abs. 4 AIG, die einen Wegweisungsvollzug in die Türkei als unzu- mutbar erscheinen liessen. Der Beschwerdeführer stamme aus der von den Erdbeben betroffenen Provinz D._______. Trotz seinen gesundheitlichen Beeinträchtigungen sei es dem Beschwerdeführer möglich gewesen, gewissen Arbeiten nachzu- gehen. Er habe mit diesen Beeinträchtigungen sogar die Sekundarschule beenden sowie mit dem Gymnasium beginnen können, wodurch er über eine gute schulische Bildung verfüge. Aufgrund seiner medizinischen Schwierigkeiten habe der Beschwerdeführer eine Behindertenrente erhal- ten und auch seine Familie habe ihn in der Vergangenheit finanziell unter- stützt. Sein Vater sowie die meisten seiner Geschwister seien berufstätig. Zudem sei es dem Beschwerdeführer und seiner Familie möglich gewesen, 8'000 Euro anzusparen, um ihm die Reise in die Schweiz zu ermöglichen. Ferner lebten zahlreiche Onkel und Tanten in der Türkei, unter anderem in E._______ und F._______. Damit verfüge der Beschwerdeführer über ein grosses Beziehungsnetz, sodass die soziale Eingliederung problemlos er- folgen könne. Des Weiteren werde der Beschwerdeführer eine gesicherte Wohnsituation antreffen. Sein Vater besitze in B._______ ein dreistöckiges</w:t>
      </w:r>
    </w:p>
    <w:p>
      <w:r>
        <w:t>E-2819/2024 Seite 10 Haus, wo er bis kurz vor der Ausreise gelebt habe. Unmittelbar vor seiner Ausreise habe er sich im Weiteren bei seiner Tante in Istanbul aufgehalten. Es stehe dem Beschwerdeführer bei einer Rückkehr in seinen Heimatstaat frei, wo in der Türkei er sich niederlassen wolle. Schliesslich habe der Be- schwerdeführer selber zu Protokoll gegeben, dass seine gesundheitlichen Lasten persönlich im Alltag nicht beeinträchtigen würden. Das Bundesverwaltungsgericht schliesst sich der Einschätzung der Vor- instanz an.</w:t>
      </w:r>
    </w:p>
    <w:p>
      <w:r>
        <w:rPr>
          <w:b/>
        </w:rPr>
        <w:t>E. 7.3.4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Die Begehren erweisen sich als aussichtslos, weshalb die Gesuche um Gewährung der unentgeltlichen Prozessführung und der unentgeltlichen Rechtsverbeiständung ungeachtet einer allfälligen prozessualen Bedürftig- keit abzuweisen sind.</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E-2819/2024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