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E-2818/2010 vom 19. Januar 2012</w:t>
      </w:r>
    </w:p>
    <w:p>
      <w:r>
        <w:t>Bundesverwaltungsgericht, 2012-01-19, DE</w:t>
      </w:r>
    </w:p>
    <w:p>
      <w:r>
        <w:rPr>
          <w:b/>
        </w:rPr>
        <w:t xml:space="preserve">Quelle: </w:t>
      </w:r>
      <w:r>
        <w:t>https://mcp.opencaselaw.ch/entscheid/bvger_E-2818_2010</w:t>
      </w:r>
    </w:p>
    <w:p>
      <w:r>
        <w:t>FR: TAF E-2818/2010 du 19 janvier 2012</w:t>
      </w:r>
    </w:p>
    <w:p>
      <w:r>
        <w:t>IT: TAF E-2818/2010 del 19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w:t>
      </w:r>
    </w:p>
    <w:p>
      <w:r>
        <w:t>Das BFM verneinte die Flüchtlingseigenschaft des Beschwerdeführers, lehnte sein Asylgesuch ab und wies ihn aus der Schweiz weg. In seiner Rechtsmitteleingabe beantragte er die Aufhebung der Verfügung, soweit den Wegweisungsvollzug betreffend (Ziffern 4 und 5 des Dispositivs). Die Verneinung der Flüchtlingseigen­schaft, die Ab­lehnung des Asylge­suchs und die Wegweisung an sich blieben somit unangefoch­ten und sind mit Ablauf der Beschwerdefrist in Rechtskraft er­wachsen (Dispositivziffern 1-3). Es ist deshalb einzig zu prüfen, ob die Wegweisung zu voll­zie­hen oder ob anstelle des Voll­zugs eine vor­läu­fige Aufnahme anzu­ord­nen sei (Art. 44 AsylG i.V.m. Art. 83 des Bundesgesetzes vom 16. De­zem­ber 2005 über die Ausländerinnen und Ausländer [AuG, SR 142.20]).</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Provinz Dohuk ist demnach unter dem Aspekt von Art. 5 AsylG rechtmässig. Sodann ergeben sich weder aus den Aussagen des Beschwerdeführers noch aus den Akten Anhaltspunkte dafür, dass er für den Fall einer Ausschaffung in die Provinz Dohuk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Irak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hat sich im nach wie vor gültigen Grundsatzurteil BVGE 2008/5 vom 14. März 2008 ausführlich mit der Frage der Zumutbarkeit des Wegweisungsvollzugs in den kurdisch verwalteten Nordirak befasst. Es gelangte zum Schluss, dass in den drei kurdischen Provinzen (Dohuk, Erbil und Suleimaniya) keine Situation allgemeiner Gewalt herrscht und die dortige politische Lage nicht dermassen angespannt ist, dass eine Rückführung als generell unzumutbar betrachtet werden müsste. Zudem ist die Region mit Direktflügen aus Europa und aus den Nachbarländern erreichbar. Damit entfällt das Element der unzumutbaren Rückreise via Bagdad und anschliessend auf dem Landweg durch den von Gewalt heimgesuchten Zentralirak in das durch die kurdische Regionalregierung ("Kurdistan Regional Government" [KRG]) dominierte Gebiet. Die Anordnung des Wegweisungsvollzugs setzt jedoch voraus, dass die betreffende Person ursprünglich aus der Region stammt oder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Zusammenfassend wurde festgehalten, dass die Anordnung des Wegweisungsvollzugs in der Regel für alleinstehende, gesunde und junge kurdische Männer, die ursprünglich aus der KRG-Region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Bei Kurden, welche aus kurdisch dominierten Gebieten ausserhalb der drei Provinzen Dohuk, Erbil und Suleimaniya stammen - namentlich aus Kirkuk und Mosul - bleibt die Zumutbarkeit des Vollzugs im Einzelfall zu prüfen.</w:t>
      </w:r>
    </w:p>
    <w:p>
      <w:r>
        <w:rPr>
          <w:b/>
        </w:rPr>
        <w:t>E. 5.3.1</w:t>
      </w:r>
    </w:p>
    <w:p>
      <w:r>
        <w:t>Von der Vorinstanz wurde in ihrer Verfügung die allgemein angespannte Sicherheitslage im Irak nicht in Zweifel gezogen. Weiter ging sie davon aus, dass in den drei von der kurdischen Regionalregierung kontrollierten nordirakischen Provinzen Dohuk, Erbil und Sulaymanyia keine Situation allgemeiner Gewalt herrsche und der Wegweisungsvollzug dorthin grundsätzlich zumutbar sei. Der Beschwerdeführer mache zwar geltend, die letzten fünf Jahre vor seiner Ausreise in einem Dorf in der Provinz Mosul im Zentralirak gelebt zu haben. Aufgrund des Ergebnisses der LINGUA-Analyse sowie seiner Aussagen anlässlich der beiden Anhörungen werde aber davon ausgegangen, dass er bis zu seiner Ausreise im Nordirak gelebt habe. Die Tatsache, dass der Beschwerdeführer eine gefälschte Identitätskarte zu den Akten gereicht habe, spreche auch für die Unglaubhaftigkeit seiner Vorbringen. Es sei davon auszugehen, dass er in seiner Herkunftsregion, der Provinz Dohuk, über ein entsprechendes familiäres und soziales Beziehungsnetz verfüge und ihm eine Rückkehr dorthin somit zumutbar sei.</w:t>
      </w:r>
    </w:p>
    <w:p>
      <w:r>
        <w:rPr>
          <w:b/>
        </w:rPr>
        <w:t>E. 5.3.2</w:t>
      </w:r>
    </w:p>
    <w:p>
      <w:r>
        <w:t>Der Beschwerdeführer entgegnet in seiner Rechtsmitteleingabe, er habe sehr ausführlich über die Gegebenheiten in D._______, Provinz Mosul, berichtet. Er habe dargelegt, wie viele kurdische und arabische Familien dort wohnten, wie die Schule und die Moschee genannt würden, wie der Imam und dessen Vater hiessen und wer Oberhaupt der Araber und wer Bürgermeister der Kurden sei. Ausserdem spreche er ein wenig Arabisch, was er auch angegeben habe. Dass sein Dialekt jenem der Bewohner von C._______ entspreche, liege daran, dass seine massgebliche sprachliche Sozialisierung in C._______ erfolgt sei, wo er bis zum 13. Lebensjahr gewohnt habe. Es sei deshalb festzustellen, dass er aus C._______ stamme, aber die letzten Jahre zusammen mit seiner Familie in der Region Mosul gelebt habe und folglich im Nordirak über kein tragfähiges soziales Netz mehr verfüge. Da der Wegweisungsvollzug in den Zentralirak vom Bundesverwaltungsgericht weiterhin als unzumutbar erachtet werde, sei ihm die vorläufige Aufnahme zu gewährend. Als Beleg für seinen Aufenthalt in der Region Mosul reichte der Beschwerdeführer eine Wohnsitzbescheinigung zu den Akten, unterzeichnet vom Dorfvertreter und zwei Zeugen.</w:t>
      </w:r>
    </w:p>
    <w:p>
      <w:r>
        <w:rPr>
          <w:b/>
        </w:rPr>
        <w:t>E. 5.3.3</w:t>
      </w:r>
    </w:p>
    <w:p>
      <w:r>
        <w:t>Nach eingehender Prüfung der Akten gelangt das Bundesverwaltungsgericht in Übereinstimmung mit dem BFM zum Schluss, dass der Wegweisungsvollzug des Beschwerdeführers im Ergebnis zumutbar ist. Beim Beschwerdeführer handelt es sich gemäss eigenen Aussagen um einen alleinstehenden, 22-jährigen und gemäss Akten gesunden Mann, der aus C._______, Provinz Dohuk, stammt und dort aufgewachsen ist. Die LINGUA-Analyse hat dies bestätigt. Die Ausführungen des Beschwerdeführers bezüglich des mehrjährigen Aufenthalts in der Region Mosul sind als ungenügend und widersprüchlich zu beurteilen. So sagte er bei der Befragung zur Person aus, er habe die ersten beiden Jahre nach seinem Umzug gearbeitet und sei danach drei Jahre arbeitslos gewesen (vgl. vorinstanzliche Akten A1 S. 3). Bei der Anhörung machte er geltend, die ersten drei Jahre nach seinem Umzug arbeitslos gewesen zu sein und dann zwei Jahre gearbeitet zu haben (vgl. A16 F74). Auf Nachfrage hin konnte er dann jedoch nicht einmal ungefähre Angaben machen, in welchem Zeitraum er erwerbstätig gewesen sei und wie lange vor seiner Ausreise er aufgehört habe zu arbeiten (vgl. A16 F80 ff.). Weiter machte er anlässlich beider Befragungen geltend, in seinem Dorf in der Region Mosul gebe es keine Hausnummern, weshalb er keine Adresse angeben könne (A1 S. 2, A16 F75), während er betreffend seinen Aufenthalt in C._______ die Adresse (...) 139 nannte. Auf der von ihm auf Beschwerdeebene eingereichten Wohnsitzbestätigung des Dorfes D._______ figuriert jedoch die Hausnummer 139. Da dieses Dokument ausserdem keinerlei Sicherheitsmerkmale aufweist, ist diesem kein hinreichender Beweiswert beizumessen. Aufgrund der genannten und weiterer Ungereimtheiten, auf deren Erörterung jedoch verzichtet werden kann, sowie insbesondere aufgrund der bei der Vorinstanz eingereichten und in Übereinstimmung mit dem BFM als gefälscht zu beurteilenden Identitätskarte gelangt das Bundesverwaltungsgericht zum Schluss, dass es sich bei den Aussagen des Beschwerdeführers bezüglich des Aufenthalts in der Region Mosul um ein Konstrukt handelt. Der Beschwerdeführer hat sich mit grösster Wahrscheinlichkeit nie über längere Zeit in der Gegend von Mosul aufgehalten, sondern hat bis zu seiner Ausreise in C._______ gelebt. Es ist weiter zu folgern, dass er dort entgegen seinen Behauptungen nach wie vor über Familienangehörige und ein soziales Netz verfügt. Ein Wegweisungsvollzug des Beschwerdeführers in die nordirakische Provinz Dohuk ist deshalb als zumutbar zu beurteilen. Aufgrund obiger Erwägungen erübrigt es sich, weiter auf die Ausführungen in der kurzen Rechtsmitteleingabe näher einzugehen, zumal sie den angeblichen fünfjährigen Aufenthalt in der Provinz Mosul nicht glaubhaft erscheinen zu lassen und am Verfahrensausgang nichts zu ändern vermögen.</w:t>
      </w:r>
    </w:p>
    <w:p>
      <w:r>
        <w:rPr>
          <w:b/>
        </w:rPr>
        <w:t>E. 5.4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Nachdem der Beschwerdeführer die mit Verfügung vom 7. Mai 2010 eingeforderte Fürsorgebestätigung nicht beigebracht hat und am 21. Mai 2010 den Kostenvorschuss bezahlt hat, ist mangels Bedürftigkeit das Gesuch um Gewährung der unentgeltlichen Rechtspflege im Sinne von Art. 65 Abs. 1 VwVG abzuweisen.</w:t>
      </w:r>
    </w:p>
    <w:p>
      <w:r>
        <w:rPr>
          <w:b/>
        </w:rPr>
        <w:t>E. 8</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21. Mai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