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E-2817/2025 vom 26. September 2025</w:t>
      </w:r>
    </w:p>
    <w:p>
      <w:r>
        <w:t>Bundesverwaltungsgericht, 2025-09-26, FR</w:t>
      </w:r>
    </w:p>
    <w:p>
      <w:r>
        <w:rPr>
          <w:b/>
        </w:rPr>
        <w:t xml:space="preserve">Quelle: </w:t>
      </w:r>
      <w:r>
        <w:t>https://mcp.opencaselaw.ch/entscheid/bvger_E-2817_2025</w:t>
      </w:r>
    </w:p>
    <w:p>
      <w:r>
        <w:t>FR: TAF E-2817/2025 du 26 septembre 2025</w:t>
      </w:r>
    </w:p>
    <w:p>
      <w:r>
        <w:t>IT: TAF E-2817/2025 del 26 settembre 2025</w:t>
      </w:r>
    </w:p>
    <w:p>
      <w:pPr>
        <w:pStyle w:val="Heading2"/>
      </w:pPr>
      <w:r>
        <w:t>Regeste</w:t>
      </w:r>
    </w:p>
    <w:p>
      <w:r>
        <w:t>Asile et renvoi</w:t>
      </w:r>
    </w:p>
    <w:p>
      <w:pPr>
        <w:pStyle w:val="Heading2"/>
      </w:pPr>
      <w:r>
        <w:t>Erwägungen</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S'agissant des autres engagements de la Suisse relevant du droit international, il sied d'examiner particulièrement si l'art. 3 CEDH, qui interdit la torture, les peines ou traitements inhumains, s'applique dans le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raisons exposées (cf. consid. 3),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6.6</w:t>
      </w:r>
    </w:p>
    <w:p>
      <w:r>
        <w:t>L'intéressé ne saurait tirer argument de son droit au respect de sa vie privée et familiale, tel que protégé par l'art. 8 CEDH, pour demeurer en Suisse auprès de sa compagne S._______ et de son fils T._______, dès lors qu'il sera renvoyé avec eux au Burundi. La question de l'intérêt supérieur de son fils à rester en Suisse, au sens de l'art. 3 al. 1 de la Convention relative aux droits de l'enfant du 20 novembre 1989 (CDE ; RS 0.170) est examinée dans le cadre de l'arrêt distinct concernant celui-ci et sa mère (E-2871/2025).</w:t>
      </w:r>
    </w:p>
    <w:p>
      <w:r>
        <w:rPr>
          <w:b/>
        </w:rPr>
        <w:t>E. 6.7</w:t>
      </w:r>
    </w:p>
    <w:p>
      <w:r>
        <w:t>Compte tenu de la jurisprudence restrictive en la matière, il y a lieu de considérer que les problèmes de santé évoqués par le recourant ne sont pas d'une gravité telle qu'il se justifierait de renoncer à son renvoi (cf., à ce sujet, arrêt Paposhvili c. Belgique [GC] du 13 décembre 2016, requête no 41738/10), ce qu'il n'allègue d'ailleurs pas. En effet, force est de constater que le dossier ne permet pas de retenir l'existence d'un trouble d'une gravité, d'une urgence ou d'une spécificité telle qu'il ne pourrait pas, si nécessaire, être traité au Burundi (cf. également consid. 7.5).</w:t>
      </w:r>
    </w:p>
    <w:p>
      <w:r>
        <w:rPr>
          <w:b/>
        </w:rPr>
        <w:t>E. 6.8</w:t>
      </w:r>
    </w:p>
    <w:p>
      <w:r>
        <w:t>Dès lors, l'exécution du renvoi du recourant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En l'espèce, il ne ressort du dossier aucun élément dont on pourrait inférer que l'exécution du renvoi impliquerait une mise en danger concrète du recourant.</w:t>
      </w:r>
    </w:p>
    <w:p>
      <w:r>
        <w:rPr>
          <w:b/>
        </w:rPr>
        <w:t>E. 7.3</w:t>
      </w:r>
    </w:p>
    <w:p>
      <w:r>
        <w:t>En dépit des tensions persistantes dans les zones frontalières avec la RDC, le Burundi ne se trouve pas en proie, sur l'ensemble de son territoire, à une guerre, une guerre civile ou une situation de violence généralisée. La province de D._______, d'où le recourant dit être originaire, ne connaît pas de situation sécuritaire défavorable.</w:t>
      </w:r>
    </w:p>
    <w:p>
      <w:r>
        <w:rPr>
          <w:b/>
        </w:rPr>
        <w:t>E. 7.4</w:t>
      </w:r>
    </w:p>
    <w:p>
      <w:r>
        <w:t>L'intéressé bénéficie d'une formation ainsi que d'une expérience professionnelle. Il est ainsi en mesure de se réinstaller dans son pays et d'y poursuivre la vie qu'il y menait avant son départ. Il bénéficiera du soutien de sa compagne, avec laquelle il sera renvoyé au Burundi. Il est en outre issu d'une famille aisée et rien n'indique qu'il ne pourra pas compter si nécessaire sur l'aide de ses proches à son retour, du moins le temps de sa réinstallation. Vu l'invraisemblance des motifs d'asile, rien ne permet d'ailleurs d'affirmer que les membres de la famille du recourant auraient effectivement quitté le Burundi.</w:t>
      </w:r>
    </w:p>
    <w:p>
      <w:r>
        <w:rPr>
          <w:b/>
        </w:rPr>
        <w:t>E. 7.5.1</w:t>
      </w:r>
    </w:p>
    <w:p>
      <w:r>
        <w:t>S'agissant de l'état de santé de l'intéressé, il est rappelé que l'exécution du renvoi ne cesse d'être raisonnablement exigible que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7.5.2</w:t>
      </w:r>
    </w:p>
    <w:p>
      <w:r>
        <w:t>En l'espèce, l'état de stress post-traumatique présenté par l'intéressé, selon les rapports versés au dossier, n'est pas suffisamment grave, au sens de la jurisprudence susmentionnée, pour s'opposer à l'exécution de son renvoi. L'intéressé ne l'allègue d'ailleurs pas. Compte tenu de l'invraisemblance de ses motifs d'asile, rien ne suggère en outre qu'un retour au pays puisse en soi aggraver son état de santé. Tout risque de retraumatisation peut dès lors être écarté.</w:t>
      </w:r>
    </w:p>
    <w:p>
      <w:r>
        <w:rPr>
          <w:b/>
        </w:rPr>
        <w:t>E. 7.5.3</w:t>
      </w:r>
    </w:p>
    <w:p>
      <w:r>
        <w:t>Au demeurant, des soins essentiels sont disponibles au Burundi, de sorte que le recourant pourra, si nécessaire, y poursuivre le soutien psychologique initié en Suisse.</w:t>
      </w:r>
    </w:p>
    <w:p>
      <w:r>
        <w:rPr>
          <w:b/>
        </w:rPr>
        <w:t>E. 7.6</w:t>
      </w:r>
    </w:p>
    <w:p>
      <w:r>
        <w:t>Bien que cela ne soit pas décisif, il est également rappelé qu'il sera possible au recourant, si cela s'avérait nécessaire, de présenter au SEM, après la clôture de la présente procédure, une demande d'aide au retour au sens de l'art. 93 LAsi.</w:t>
      </w:r>
    </w:p>
    <w:p>
      <w:r>
        <w:rPr>
          <w:b/>
        </w:rPr>
        <w:t>E. 7.7</w:t>
      </w:r>
    </w:p>
    <w:p>
      <w:r>
        <w:t>Par ailleurs, le degré d'intégration en Suisse du recourant n'entre pas dans les critères prévus par l'art. 83 al. 4 LEI pour l'octroi d'une admission provisoire (cf. ATAF 2009/52 consid. 10.3, p. 763 ; JICRA 2006 n° 13 consid. 3.5 p. 142 s.).</w:t>
      </w:r>
    </w:p>
    <w:p>
      <w:r>
        <w:rPr>
          <w:b/>
        </w:rPr>
        <w:t>E. 7.8</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ce qui n'est d'ailleurs pas contesté.</w:t>
      </w:r>
    </w:p>
    <w:p>
      <w:r>
        <w:rPr>
          <w:b/>
        </w:rPr>
        <w:t>E. 9</w:t>
      </w:r>
    </w:p>
    <w:p>
      <w:r>
        <w:t>En conséquence, le recours est également rejeté en tant qu'il porte sur les questions du renvoi et de son exécution.</w:t>
      </w:r>
    </w:p>
    <w:p>
      <w:r>
        <w:rPr>
          <w:b/>
        </w:rPr>
        <w:t>E. 10</w:t>
      </w:r>
    </w:p>
    <w:p>
      <w:r>
        <w:t>S'avérant manifestement infondé, il l'est dans une procédure à juge unique, avec l'approbation d'un second juge (art. 111 let. e LAsi).</w:t>
      </w:r>
    </w:p>
    <w:p>
      <w:r>
        <w:rPr>
          <w:b/>
        </w:rPr>
        <w:t>E. 11</w:t>
      </w:r>
    </w:p>
    <w:p>
      <w:r>
        <w:t>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