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E-2814/2025 vom 16. Oktober 2025</w:t>
      </w:r>
    </w:p>
    <w:p>
      <w:r>
        <w:t>Bundesverwaltungsgericht, 2025-10-16, FR</w:t>
      </w:r>
    </w:p>
    <w:p>
      <w:r>
        <w:rPr>
          <w:b/>
        </w:rPr>
        <w:t xml:space="preserve">Quelle: </w:t>
      </w:r>
      <w:r>
        <w:t>https://mcp.opencaselaw.ch/entscheid/bvger_E-2814_2025</w:t>
      </w:r>
    </w:p>
    <w:p>
      <w:r>
        <w:t>FR: TAF E-2814/2025 du 16 octobre 2025</w:t>
      </w:r>
    </w:p>
    <w:p>
      <w:r>
        <w:t>IT: TAF E-2814/2025 del 16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Le recourant fait valoir un établissement inexact et incomplet des faits pertinents par l'autorité intimée. L'établissement des faits est incomplet au sens de l'art. 106 al. 1 let. b LAsi, lorsque toutes les circonstances de fait et les moyens de preuve déterminants pour la décision n'ont pas été pris en compte par l'autorité inférieure,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l'espèce, ce grief apparaît manifestement infondé. En effet, l'intéressé fait valoir que les simples membres du MRC sont également exposés à un risque de persécution et pas uniquement les seuls membres haut placés du mouvement, ainsi qu'en attesteraient les documents produits et l'extrait de presse joint au recours (cf. acte de recours, pt 9 à 12) ; il soutient en outre que l'existence de recherches dirigées contre lui est établie par des preuves et ne résulte pas que d'ouï-dire (cf. idem, pt 14 et 15), si bien qu'il serait, à tout le moins, exposé à un risque de traitements contraire à l'art. 3 CEDH en cas de retour au Cameroun (cf. idem, pt 20). Ce faisant, le recourant ne démontre aucunement que le SEM aurait négligé de tenir compte des éléments de fait et des preuves produites, mais remet en réalité en question l'appréciation du SEM, point qui relève du fond.</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constaté que l'intéressé n'avait ni rendu crédible une crainte fondée de persécution ni établi le sérieux de ses motifs ; s'agissant des recherches le visant et des documents supposés les confirmer, il en a remis implicitement en cause la vraisemblance.</w:t>
      </w:r>
    </w:p>
    <w:p>
      <w:r>
        <w:rPr>
          <w:b/>
        </w:rPr>
        <w:t>E. 4.2</w:t>
      </w:r>
    </w:p>
    <w:p>
      <w:r>
        <w:t>Le recourant fait valoir que sa seule appartenance au MRC l'aurait mis en danger et que la police aurait tenté de l'interpeller, ce qui l'aurait obligé à prendre la fuite ; il serait aujourd'hui recherché. Si un grand nombre de cadres et de militants du MRC ont été arrêtés et emprisonnés de 2019 à 2021, y compris son leader Maurice Kamto, puis, pour certains, condamnés à des peines de prison importantes, la plupart ont été libérés en 2022, seuls 36 demeurant détenus à ce jour (cf. Office français de protection des réfugiés et apatrides [OFPRA], Cameroun : La répression de l'opposition politique, 13 décembre 2022, accessible sous le lien Internet https://www.ofpra.gouv.fr/libraries /pdf.js/web/viewer.html?file=/sites/default/files/ofpra_flora/2212_cmr_opposition_politique_157343_web.pdf ; Amnesty International, Cameroun. Les autorités doivent libérer 36 manifestants détenus arbitrairement depuis cinq ans, alors que la répression des droits humains s'intensifie, accessible sous le lien Internet https://www.amnesty.org/fr/latest/news /2025/09/cameroon-protesters-arbitrary-detention/ ; sources consultées en date du 30 septembre 2025). Maurice Kamto lui-même, arrêté en janvier 2019, a été libéré au mois d'octobre suivant, ayant cependant été empêché de se présenter aux élections présidentielles prévues en octobre 2025 (cf. Radio France International, 5 août 2025, Présidentielle au Cameroun : Maurice Kamto ne pourra pas être candidat, accessible sous le lien Internet https://www.rfi.fr/fr/afrique/20250805-pr%C3%A9sidentielle-au-cameroun-maurice-kamto-ne-pourra-pas-%C3%AAtre-candidat et consulté le 30 septembre 2025) ; le MRC demeure par ailleurs légal. En l'espèce, ainsi que l'a retenu le SEM, le recourant a exposé avoir été un simple membre du MRC, sans responsabilités particulières, son engagement apparaissant s'être limité à sa participation à une manifestation tenue en 2020, dont il n'a pas pu du reste indiquer la date (cf. procès-verbal [p-v] de l'audition du 12 novembre 2024, questions 65 à 68). Il n'a en outre pas expliqué comment la police l'aurait identifié parmi des manifestants « tellement nombreux » (cf. idem, questions 97 et 122), cette manifestation ayant été rapidement dispersée par la force, sans qu'il soit arrêté ou interrogé (cf. idem, questions 98 à 102). Dans ce contexte, il apparaît peu vraisemblable que la police ait tenté, plusieurs mois plus tard, d'interpeller le requérant pour cette raison, ni que les habitants du quartier aient aussitôt su que les agents venaient interpeller les participants à ce rassemblement (cf. p-v de l'audition du 12 novembre 2024, questions 79 et 81) ; de fait, il aurait passé encore un an à G._______ sans rencontrer d'ennuis. Par ailleurs, durant son séjour en Tunisie, il n'aurait pas craint de se signaler à l'attention des autorités de son pays d'origine et se faisant délivrer une carte d'identité par l'Ambassade du Cameroun ; celle-ci mentionne du reste une adresse à Tunis, ce qui tend à indiquer que le recourant ne séjournait pas clandestinement dans ce pays.</w:t>
      </w:r>
    </w:p>
    <w:p>
      <w:r>
        <w:rPr>
          <w:b/>
        </w:rPr>
        <w:t>E. 4.3</w:t>
      </w:r>
    </w:p>
    <w:p>
      <w:r>
        <w:t>Au regard de ce qui précède, les documents déposés par l'intéressé ne sont pas de nature à modifier l'appréciation du Tribunal. L'avis de recherche et la convocation de police - indépendamment de leur authenticité - font seulement apparaître qu'il aurait été poursuivi pour sa participation à une manifestation, ce qui n'est pas de nature à l'exposer à une sanction grave. La liste « provisoire », datée du (...) décembre 2024, des militants du MRC détenus et maltraités de 2018 à 2020, dont la source apparaît être le MRC lui-même, est sans incidence en l'espèce, ce d'autant plus que l'intéressé n'y figure pas ; la nature des activités des personnes mentionnées demeure en outre inconnue. L'extrait de presse du (...) février 2022, qui dénote également que le recourant ne redoutait pas d'apparaître au grand jour, retranscrit ses déclarations sans apporter de faits nouveaux ; il diffère en revanche de son récit sur plusieurs points, décrivant l'intéressé comme « engagé tôt en politique » et « aux premières lignes » pour réclamer la libération de Maurice Kamto. Enfin, le document émanant d'Amnesty International daté du (...) janvier 2025 se réfère au cas d'une dénommée K._______, arrêtée en septembre 2020, alors qu'elle prenait part à une manifestation du MRC, condamnée, puis relâchée après quatre ans de détention ; son cas ne peut cependant être assimilé à celui du recourant, qui n'a jamais été interpellé et n'a pas été en mesure d'établir la crédibilité des recherches dirigées contre lui. Quant au second communiqué d'Amnesty International, qui relate l'arrestation de 59 opposants et les mauvais traitements qui leur ont été infligés, il est daté du 26 juillet 2019, soit bien avant le départ du recourant et se trouve ainsi sans pertinence.</w:t>
      </w:r>
    </w:p>
    <w:p>
      <w:r>
        <w:rPr>
          <w:b/>
        </w:rPr>
        <w:t>E. 4.4</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pour les motifs examinés (cf. consid. 3),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Malgré les affrontements opposant l'armée et les mouvements issus de la communauté anglophone, qui sévissent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 En outre, il ne ressort du dossier aucun élément dont on pourrait inférer que l'exécution du renvoi impliquerait une mise en danger concrète du recourant. En effet, ce dernier est jeune, sans charge de famille, a vécu depuis son enfance à E._______ et a déjà été professionnellement actif ; en outre, les troubles physiques et psychologiques qu'il manifestait lors de son arrivée en Suisse et qui ont motivé la tenue d'une audition TEH, cependant jamais confirmés par un rapport médical, apparaissent ne plus exister à la date du présent arrêt (cf. ATAF 2014/26 consid. 7.3 à 7.10 ; 2011/50 consid. 8.3).</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