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E-2806/2020 vom 30. September 2020</w:t>
      </w:r>
    </w:p>
    <w:p>
      <w:r>
        <w:t>Bundesverwaltungsgericht, 2020-09-30, DE</w:t>
      </w:r>
    </w:p>
    <w:p>
      <w:r>
        <w:rPr>
          <w:b/>
        </w:rPr>
        <w:t xml:space="preserve">Quelle: </w:t>
      </w:r>
      <w:r>
        <w:t>https://mcp.opencaselaw.ch/entscheid/bvger_E-2806_2020</w:t>
      </w:r>
    </w:p>
    <w:p>
      <w:r>
        <w:t>FR: TAF E-2806/2020 du 30 septembre 2020</w:t>
      </w:r>
    </w:p>
    <w:p>
      <w:r>
        <w:t>IT: TAF E-2806/2020 del 30 settembre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hielten teilweise den Anforderungen von Art. 7 AsylG an das Glaubhaftmachen und teilweise denjenigen für die Anerkennung der Flüchtlingseigenschaft gemäss Art. 3 AsylG nicht stand, weshalb sein Asylgesuch abzulehnen sei. Zur Begründung hielt sie fest, der Beschwerdeführer habe sich betreffend sein Vorbringen, er sei nach der Teilnahme an einer Demonstration im Jahr 2011 behördlich gesucht worden, bezüglich des zeitlichen Ablaufs in erhebliche Widersprüche verstrickt. Damit konfrontiert, dass seine Identitätskarte am 7. Juni 2011 ausgestellt worden sei - zu einem Zeitpunkt, in welchem er sich gemäss seiner Darstellung bereits versteckt habe - habe er seine Angabe dahingehend korrigiert, dass die Probleme erst begonnen hätten, nachdem er die Identitätskarte erhalten habe, und er falsch verstanden worden sei. Ein Verständnisproblem bei der Übersetzung könne indes ausgeschlossen werden, da im Protokoll auch der Monat «Nîsan» (Anmerkung des Gerichts: Kurmancî für April) vermerkt worden sei. Die Angabe, er habe im zehnten oder elften Monat an der Demonstration teilgenommen, stehe zudem im Widerspruch mit den eingereichten Dokumenten, wonach er bereits am 1. September 2011 verurteilt worden sei. Mit seiner Entgegnung, er könne sich nicht mehr genau erinnern, habe er die Widersprüche nicht auszuräumen vermocht. Angesichts der einschneidenden Auswirkungen auf sein Leben, könne erwartet werden, dass er die Ereignisse zeitlich zumindest grob einordnen könne. Die präzisen Zeitangaben des Beschwerdeführers zu seiner Verhaftung im Jahr 2004 zeige, dass er hierzu auch nach längerem Zeitablauf in der Lage sei. Seine Angabe, im Ort E._______ hätten die Demonstrationen erst im zehnten oder elften Monat begonnen, decke sich zudem nicht mit einschlägigen Medienberichten zur Situation vor Ort, wonach es dort bereits im April 2011 gewaltsame Reaktionen seitens der Sicherheitskräfte gegeben habe. Da der Beschwerdeführer angegeben habe, er habe sich bis zum Abzug der syrischen Behörden im Jahr 2012 versteckt, sei es nicht nachvollziehbar, dass er während dieser Zeit regelmässig zwischen seinem Dorf und D._______ hin- und hergehen, persönlich seine Medikamente in Spital habe abholen und seine Eltern besucht haben könne. Aufgrund der Unglaubhaftigkeit seiner Darstellungen und da in Syrien praktisch jede Art von Dokumenten käuflich erwerbbar sei, werde auf eine eingehende materielle Prüfung der eingereichten Dokumente (Urteil, Fahndungsaufruf, Zivilregisterauszug) verzichtet.</w:t>
      </w:r>
    </w:p>
    <w:p>
      <w:r>
        <w:rPr>
          <w:b/>
        </w:rPr>
        <w:t>E. 5.2</w:t>
      </w:r>
    </w:p>
    <w:p>
      <w:r>
        <w:t>Der Beschwerdeführer habe weiter vorgebracht, er sei im Jahr 2004 nach der Teilnahme an einer Demonstration verhaftet worden. Da er nicht verurteilt worden sei und danach keinen Kontakt zu den syrischen Behörden mehr gehabt habe, fehle es an einem Kausalzusammenhang zwischen dieser Verhaftung und der Ausreise. Die Haft im Jahr 2004 sei damit nicht asylrelevant. Den Akten liessen sich auch keine Hinweise für eine mögliche künftige Verfolgung durch die syrischen Behörden entnehmen. Gemäss eigenen Angaben, sei der Beschwerdeführer kein politischer Mensch und sei, abgesehen von der Teilnahme an Demonstrationen, nicht politisch aktiv gewesen. Ferner lasse sich weder aus den Asyldossiers seiner Brüder, noch aus der Tatsache, dass sein jüngster Bruder als YPG-Mitglied (Yekîneyên Parastina Gel) bei Kämpfen getötet worden sei, eine Gefährdung ableiten.</w:t>
      </w:r>
    </w:p>
    <w:p>
      <w:r>
        <w:rPr>
          <w:b/>
        </w:rPr>
        <w:t>E. 6.1</w:t>
      </w:r>
    </w:p>
    <w:p>
      <w:r>
        <w:t>Nach Prüfung der Akten schliesst sich das Bundesverwaltungsgericht den Erwägungen der Vorinstanz an, wonach sich der Beschwerdeführer bezüglich seiner Teilnahme an einer Demonstration im Jahr 2011 in erhebliche Widersprüche verstrickt habe und insgesamt auch unter Berücksichtigung seiner Inhaftierung im Jahr 2004 nicht davon auszugehen sei, er wäre bei der Rückkehr nach Syrien im heutigen Zeitpunkt gefährdet, seitens des Regimes Verfolgungsmassnahmen zu erleiden. Zwecks Vermeidung von Wiederholungen kann auf die Feststellungen in der angefochtenen Verfügung, die nicht zu beanstanden sind, verwiesen werden. Die Ausführungen in der Beschwerdeschrift, die hauptsächlich aus der Widergabe des bereits erstellten Sachverhalts und Zitaten aus den Befragungen bestehen, sind nicht geeignet, an dieser Einschätzung etwas zu ändern.</w:t>
      </w:r>
    </w:p>
    <w:p>
      <w:r>
        <w:rPr>
          <w:b/>
        </w:rPr>
        <w:t>E. 6.2</w:t>
      </w:r>
    </w:p>
    <w:p>
      <w:r>
        <w:t>Entgegen der in der Beschwerde vertreten Ansicht konnte der Beschwerdeführer mit seinen Angaben zur Ausstellung der Identitätskarte den zeitlichen Ablauf gerade nicht klären, sondern verstrickte sich in weitere Widersprüche, indem er ausführte, er habe zum Zeitpunkt als er die Identitätskarte (mit Ausstellungsdatum 7. Juni 2011) «bereits in der Tasche gehabt habe» noch keine Probleme gehabt (SEM-Akte A26/22 F95). Wohingegen er zuvor angab, er sei nach der Teilnahme an einer Demonstration zu Beginn der Proteste gesucht worden (SEM-Akte A26/22 F28). Seine Erklärung, er sei unter grossem Druck gestanden und habe lediglich die Daten durcheinandergebracht, zudem würden traumatisierte Personen banale Details oft verdrängen, ist, nachdem die chronologische Einordnung mehrfach abweichend geschildert wurde und der Beschwerdeführer nicht konkret darlegt, inwiefern er durch die Erlebnisse schwer traumatisiert sei, als Schutzbehauptung zu beurteilen. Das SEM hat zu den eingereichten Beweismitteln zu Recht festgestellt, diese stünden nebst dem ohnehin beschränkten Beweiswert auch im Widerspruch zum vorgebrachten Sachverhalt, indem sie einen gänzlich anderen zeitlichen Ablauf allfälliger Vorfälle aufzeigten. Somit können diese nicht dem Beweis der Darstellungen des Beschwerdeführers dienen, weshalb die Vorinstanz zu Recht auf eine vertiefte Prüfung der Dokumente verzichtete.</w:t>
      </w:r>
    </w:p>
    <w:p>
      <w:r>
        <w:rPr>
          <w:b/>
        </w:rPr>
        <w:t>E. 6.3</w:t>
      </w:r>
    </w:p>
    <w:p>
      <w:r>
        <w:t>Vorliegend fällt zudem ins Gewicht, dass das vom Beschwerdeführer eingereichte Urteil vom 1. September 2011 datiert und er angab, er habe in der Zwischenzeit bis zu seiner Ausreise keine weiteren Probleme bekommen und keine weiteren Dokumente mehr erhalten (SEM-Akte A26/22 F122). Aus Syrien ausgereist ist der Beschwerdeführer erst Anfang des Jahres 2018. Es liegen keine Hinweise dafür vor, dass er bis zu seiner Ausreise in den Fokus der Behörden geraten wäre. Insbesondere, da der Beschwerdeführer selbst angab, er habe kein Interesse an Politik gehabt und sei nicht politisch aktiv gewesen (F114 ff.). Zudem gab er als Grund für seine Ausreise auch an, er sei auf Insulinspritzen angewiesen, die er in seiner Heimat zum Zeitpunkt der Ausreise nicht mehr habe erhalten können (F85 ff.). In der Beschwerde wird ebenfalls dargelegt, ausschlaggebend für die Flucht aus Syrien sei gewesen, dass der Beschwerdeführer keine Möglichkeit mehr gehabt habe, seine Medikamente zu erhalten (Beschwerde S. 2). Diesem Vorbringen fehlt es offensichtlich an der asylrelevanten Beachtlichkeit.</w:t>
      </w:r>
    </w:p>
    <w:p>
      <w:r>
        <w:rPr>
          <w:b/>
        </w:rPr>
        <w:t>E. 6.4</w:t>
      </w:r>
    </w:p>
    <w:p>
      <w:r>
        <w:t>Dem Beschwerdeführer ist es nach dem Gesagten nicht gelungen, glaubhaft zu machen, er sei vor seiner Ausreise asylrelevanten Verfolgungsmassnahmen ausgesetzt gewesen und es drohten ihm solche in absehbarer Zukunft bei einer Rückkehr in sein Heimatland. Das SEM hat die Flüchtlingseigenschaft des Beschwerdeführers zu Recht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Der Vollzug der Wegweisung wurde zugunsten einer vorläufigen Aufnahme aufgeschoben. Der Beschwerdeführer verfügt damit über ein vorübergehendes Bleiberecht in der Schweiz. Diese Massnahme entsprechend der Dispositivziffer 4 der angefochtenen Verfügung hat weiterhin Bestand.</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17. Juni 2020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