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E-279/2026 vom 11. Dezember 2025</w:t>
      </w:r>
    </w:p>
    <w:p>
      <w:r>
        <w:t>Bundesverwaltungsgericht, 2025-12-11, DE</w:t>
      </w:r>
    </w:p>
    <w:p>
      <w:r>
        <w:rPr>
          <w:b/>
        </w:rPr>
        <w:t xml:space="preserve">Quelle: </w:t>
      </w:r>
      <w:r>
        <w:t>https://mcp.opencaselaw.ch/entscheid/bvger_E-279_2026_d20251211</w:t>
      </w:r>
    </w:p>
    <w:p>
      <w:r>
        <w:t>FR: TAF E-279/2026 du 11 décembre 2025</w:t>
      </w:r>
    </w:p>
    <w:p>
      <w:r>
        <w:t>IT: TAF E-279/2026 del 11 dicembre 2025</w:t>
      </w:r>
    </w:p>
    <w:p>
      <w:pPr>
        <w:pStyle w:val="Heading2"/>
      </w:pPr>
      <w:r>
        <w:t>Regeste</w:t>
      </w:r>
    </w:p>
    <w:p>
      <w:r>
        <w:t>Asyl und Wegweisung (Mehrfachgesuch) | Asyl und Wegweisung (Mehrfachgesuch); Verfügung des SEM vom 11. Dezember 2025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Februar 2008, Grosse Kammer 37201/06, §§ 124-127 m.w.H.), dass sich der Vollzug für Ausländerinnen und Ausländer als unzumutbar erweist, wenn sie im Heimat- oder Herkunftsstaat aufgrund von Situationen wie Krieg, Bürgerkrieg, allgemeiner Gewalt und medizinischer Notlage kon- kret gefährdet sind (Art. 83 Abs. 4 AIG), dass gemäss konstanter gerichtlicher Praxis in der Türkei nicht von einer Situation allgemeiner Gewalt oder bürgerkriegsähnlichen Verhältnissen auszugehen ist, dies auch nicht für Angehörige der kurdischen Ethnie (vgl. dazu Referenzurteil E-4103/2024 E. 13),</w:t>
      </w:r>
    </w:p>
    <w:p>
      <w:r>
        <w:t>E-279/2026 Seite 8 dass auch aus individueller Sicht keine Gründe ersichtlich sind, die gegen die Zumutbarkeit des Wegweisungsvollzugs sprechen, dass diesbezüglich auf die entsprechenden Ausführungen im Urteil des Bundesverwaltungsgerichts E-6056/2024 vom 8. Mai 2025 (E. 7.3) verwie- sen werden kann, welche nach wie vor zutreffen und welchen in der Be- schwerde nichts Entscheidendes entgegengebracht wird, dass es dem Beschwerdeführer obliegt, sich die für seine Rückkehr allen- falls benötigten Reisedokumente zu beschaffen (vgl. Art. 47 Abs. 1 AsylG und dazu auch BVGE 2008/34 E. 12), weshalb der Vollzug der Wegwei- sung auch als möglich zu bezeichnen ist, dass nach dem Gesagten der vom SEM verfügte Vollzug der Wegweisung zu bestätigen ist, dass die angefochtene Verfügung Bundesrecht nicht verletzt, den rechts- erheblichen Sachverhalt richtig sowie vollständig feststellt (Art. 106 Abs. 1 AsylG) und – soweit überprüfbar – angemessen ist, weshalb die Be- schwerde abzuweisen ist, dass die Gesuche um Gewährung der unentgeltlichen Prozessführung und amtlichen Rechtsverbeiständung ungeachtet einer allfälligen prozessualen Bedürftigkeit des Beschwerdeführers abzuweisen sind, da sich die Be- schwerdebegehren entsprechend den vorstehenden Erwägungen von vornherein als aussichtslos erwiesen haben, dass demzufolge die Verfahrenskosten dem Beschwerdeführer aufzuerle- gen (Art. 63 Abs. 1 VwVG) und auf insgesamt Fr. 2'000.– festzusetzen sind (Art. 1-3 des Reglements vom 21. Februar 2008 über die Kosten und Ent- schädigungen vor dem Bundesverwaltungsgericht [VGKE, SR 173.320.2]).</w:t>
      </w:r>
    </w:p>
    <w:p>
      <w:r>
        <w:t>(Dispositiv nächste Seite)</w:t>
      </w:r>
    </w:p>
    <w:p>
      <w:r>
        <w:t>E-279/2026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