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E-2793/2014 vom 2. Juni 2014</w:t>
      </w:r>
    </w:p>
    <w:p>
      <w:r>
        <w:t>Bundesverwaltungsgericht, 2014-06-02, DE</w:t>
      </w:r>
    </w:p>
    <w:p>
      <w:r>
        <w:rPr>
          <w:b/>
        </w:rPr>
        <w:t xml:space="preserve">Quelle: </w:t>
      </w:r>
      <w:r>
        <w:t>https://mcp.opencaselaw.ch/entscheid/bvger_E-2793_2014</w:t>
      </w:r>
    </w:p>
    <w:p>
      <w:r>
        <w:t>FR: TAF E-2793/2014 du 2 juin 2014</w:t>
      </w:r>
    </w:p>
    <w:p>
      <w:r>
        <w:t>IT: TAF E-2793/2014 del 2 giugno 2014</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als Verfügungsadressaten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im Wesentlichen fest, dass den Beschwerdeführern von der tschechischen Botschaft in Tiflis ein vom 13. respektive 16. Dezember 2013 bis am 10. Januar 2014 gültiges Visum ausgestellt worden sei. Zudem hätten die tschechischen Behörden das Ersuchen des BFM um Übernahme gestützt auf Art. 12 Abs. 2 Dublin-III-VO gutgeheissen. Somit liege die Zuständigkeit zur Durchführung des Asyl- und Wegweisungsverfahrens bei der Tschechischen Republik.</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Die Dublin-II-VO ist durch die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Wiederaufnahme bzw. Übernahme vor dem 1. Januar 2014 gestellt wurden. Die Beschwerdeführer suchten am 30. Dezember 2013 um Asyl nach. Das Gesuch der Vorinstanz um Übernahme an die tschechischen Behörden erfolgte am 28. März 2014. Vorliegend kommt daher die Dublin-III-VO zur Anwendung und der für die Prüfung seines Asylgesuches zuständige Staat ist nach den dortigen Kriterien zu ermitteln (Art. 49 Dublin-III-VO).</w:t>
      </w:r>
    </w:p>
    <w:p>
      <w:r>
        <w:rPr>
          <w:b/>
        </w:rPr>
        <w:t>E. 5.1</w:t>
      </w:r>
    </w:p>
    <w:p>
      <w:r>
        <w:t>Gemäss Art. 3 Abs. 1 Dublin-III-VO wird jeder Antrag auf internationalen Schutz eines Drittstaatsangehörigen im Hoheitsgebiet eines Mitgliedstaats einschliesslich an der Grenze oder in den Transitzonen von einem einzigen Mitgliedstaat geprüft, der nach den Kriterien des Kapitels III als zuständiger Staat bestimmt wird. Zudem wird jedem Mitgliedstaat in Abweichung von den vorgenannten Zuständigkeitskriterien die Möglichkeit zur Prüfung eines Asylgesuchs eingeräumt (vgl. zur Ermessensklausel Art. 17 Abs. 1 Dublin-III-VO und zur humanitären Klausel Art. 17 Abs. 2 Dublin-III-VO; vgl. auch Art. 29a Abs. 3 der Asylverordnung 1 vom 11. August 1999 über Verfahrensfragen [AsylV 1, SR 142.311]).</w:t>
      </w:r>
    </w:p>
    <w:p>
      <w:r>
        <w:rPr>
          <w:b/>
        </w:rPr>
        <w:t>E. 5.2</w:t>
      </w:r>
    </w:p>
    <w:p>
      <w:r>
        <w:t>Gemäss Art. 18 Abs. 1 Bst. a Dublin-III-VO ist der nach dieser Verordnung zuständige Mitgliedstaat verpflichtet, einen Antragsteller, der in einem anderen Mitgliedstaat einen Antrag gestellt hat, nach Massgabe der Artikel 21, 22 und 29 aufzunehmen.</w:t>
      </w:r>
    </w:p>
    <w:p>
      <w:r>
        <w:rPr>
          <w:b/>
        </w:rPr>
        <w:t>E. 5.3</w:t>
      </w:r>
    </w:p>
    <w:p>
      <w:r>
        <w:t>Da sich die Beschwerdeführer zurzeit ohne Aufenthaltstitel in der Schweiz aufhalten, ist gestützt auf Art. 18 Abs. 1 Bst. a Dublin-III-VO somit die Tschechische Republik als zuständiger Staat zur Aufnahme der Beschwerdeführer verpflichtet.</w:t>
      </w:r>
    </w:p>
    <w:p>
      <w:r>
        <w:rPr>
          <w:b/>
        </w:rPr>
        <w:t>E. 5.4</w:t>
      </w:r>
    </w:p>
    <w:p>
      <w:r>
        <w:t>Sowohl im Rahmen des rechtlichen Gehörs als auch in der Rechtsmitteleingabe bringen die Beschwerdeführer vor, die Tschechische Republik nicht zu kennen und sich für die Kinder in der Schweiz ein menschenwürdigeres Leben zu erhoffen. Zudem würden in Tschechien viele Georgier leben, welche sie erkennen und ihren Verfolgern ihren Aufenthaltsort verraten könnten. Dagegen hat die Vorinstanz zutreffend festgehalten, dass die Tschechische Republik ein Rechtsstaat sei, welcher über eine funktionierende Polizeibehörde verfüge, die sowohl schutzfähig als auch schutzwillig sei. Sollten sich die Beschwerdeführer einer konkreten Bedrohung ausgesetzt sehen, könnten sie sich an die zuständige Polizeibehörde wenden. In der Tat sind die Vorbringen der Beschwerdeführer nicht geeignet aufzuzeigen, inwiefern die Vorinstanz mit der Feststellung der Zuständigkeit der Tschechischen Republik Bundesrecht verletzt haben soll. Solches ist auch nicht ersichtlich.</w:t>
      </w:r>
    </w:p>
    <w:p>
      <w:r>
        <w:rPr>
          <w:b/>
        </w:rPr>
        <w:t>E. 5.5</w:t>
      </w:r>
    </w:p>
    <w:p>
      <w:r>
        <w:t>Die Anwendung der Humanitären Klausel gemäss Art. 17 Abs. 2 Dublin-III-VO scheidet bereits mangels Ersuchen eines anderen Mitgliedstaates aus und wird auch nicht geltend gemacht.</w:t>
      </w:r>
    </w:p>
    <w:p>
      <w:r>
        <w:rPr>
          <w:b/>
        </w:rPr>
        <w:t>E. 5.6</w:t>
      </w:r>
    </w:p>
    <w:p>
      <w:r>
        <w:t>In den Akten sind ferner keine Anhaltspunkte dafür zu finden, dass durch die Überstellung nach Tschechien völkerrechtliche Verpflichtungen verletzt würden, welche die Anwendung der Ermessensklausel gemäss Art. 17 Abs. 1 Dublin-III-VO als geboten erscheinen lassen. Solches wird von den Beschwerdeführern auch nicht geltend gemacht. Tschechien ist Signatarstaat der EMRK,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Tschechien bei der Durchführung des Asylverfahrens der Beschwerdeführer nicht an die daraus resultierenden Verpflichtungen halten wird. Solches wird von den Beschwerdeführern auch nicht vorgebracht. Unter dem Dublin-System besteht sodann die Vermutung, dass alle Mitgliedstaaten beziehungsweise staatsvertraglich assoziierten Staaten die Rechte der EMRK garantieren und die Zuständigkeitsordnung selbst ein EMRK-konformes Ergebnis liefert. Es liegen dem Gericht keine Anhaltspunkte vor, dass Tschechien seine staatsvertraglichen Verpflichtungen missachten und die Beschwerdeführer unter Missachtung von Art. 3 EMRK einer menschenunwürdigen oder erniedrigenden Behandlung ausgesetzt wären oder dass das flüchtlingsrechtliche Non-refoulement-Gebot verletzt würde. Für einen Selbsteintritt der Schweiz besteht somit keine Veranlassung.</w:t>
      </w:r>
    </w:p>
    <w:p>
      <w:r>
        <w:rPr>
          <w:b/>
        </w:rPr>
        <w:t>E. 6.1</w:t>
      </w:r>
    </w:p>
    <w:p>
      <w:r>
        <w:t>Die Tschechische Republik ist somit für die Prüfung der Asylgesuche der Beschwerdeführer gemäss der Dublin-III-VO zuständig und entsprechend verpflichtet, sie gemäss Art. 18 Abs. 1 Bst. a Dublin-III-VO aufzunehmen. Das BFM ist in Anwendung von Art. 31a Abs. 1 Bst. b AsylG zu Recht auf die Asylgesuche der Beschwerdeführer nicht eingetreten und hat, da sie nicht im Besitz einer gültigen Aufenthalts- oder Niederlassungsbewilligung sind, ebenfalls zu Recht in Anwendung von Art. 44 AsylG die Überstellung nach Tschechien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den Beschwerdeführern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