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E-2785/2021 vom 9. Mai 2025</w:t>
      </w:r>
    </w:p>
    <w:p>
      <w:r>
        <w:t>Bundesverwaltungsgericht, 2025-05-09, DE</w:t>
      </w:r>
    </w:p>
    <w:p>
      <w:r>
        <w:rPr>
          <w:b/>
        </w:rPr>
        <w:t xml:space="preserve">Quelle: </w:t>
      </w:r>
      <w:r>
        <w:t>https://mcp.opencaselaw.ch/entscheid/bvger_E-2785_2021</w:t>
      </w:r>
    </w:p>
    <w:p>
      <w:r>
        <w:t>FR: TAF E-2785/2021 du 9 mai 2025</w:t>
      </w:r>
    </w:p>
    <w:p>
      <w:r>
        <w:t>IT: TAF E-2785/2021 del 9 maggio 2025</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einzutreten.</w:t>
      </w:r>
    </w:p>
    <w:p>
      <w:r>
        <w:t>E-2785/2021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Die Beschwerdeführerinnen beantragen, es sei ihnen umfassende Einsicht in die dem medizinischen Consulting zugrundeliegenden Botschaftsabklä- rung der Vorinstanz zu gewähren. Gemäss Art. 27 Abs. 1 Bst. a VwVG kann eine vollständige Einsichtnahme in die Akten unter anderem dann verweigert werden, wenn wesentliche öf- fentliche Interessen die Geheimhaltung erfordern. Gemäss ständiger Rechtsprechung des Bundesverwaltungsgerichts besteht ein gewichtiges Geheimhaltungsinteresse an den Quellen von Botschaftsauskünften (vgl. zuletzt Urteil des BVGer E-6471/2024 vom 10. Juli 2024 E. 7.1.3 m.H.a. Entscheide und Mitteilungen der Schweizerischen Asylrekurskommission [EMARK] 1994 Nr. 1 E. 4c S. 12). Namentlich die Offenlegung der Arbeits- weise beziehungsweise der Identität der beigezogenen Vertrauensperso- nen könnte die Abklärungen in künftigen Fällen erschweren beziehungs- weise faktisch verunmöglichen. Durch die Einsichtnahme in das medizini- sche Consulting, welches die Ergebnisse der Botschaftsabklärung in zu- sammenfassender Weise enthält, und die anschliessende Gewährung der Möglichkeit zur Einreichung einer Stellungnahme dazu, wurde den Be- schwerdeführerinnen das rechtliche Gehör in angemessener Weise ge- währt. Das Gesuch um Gewährung der Einsicht in die Botschaftsabklärung vom (…) 20(…) ist daher abzuweisen.</w:t>
      </w:r>
    </w:p>
    <w:p>
      <w:r>
        <w:t>E-2785/2021 Seite 6</w:t>
      </w:r>
    </w:p>
    <w:p>
      <w:r>
        <w:rPr>
          <w:b/>
        </w:rPr>
        <w:t>E. 5.1</w:t>
      </w:r>
    </w:p>
    <w:p>
      <w:r>
        <w:t>In formeller Hinsicht rügen die Beschwerdeführerinnen, die Vorinstanz habe den Sachverhalt nicht vollständig abgeklärt und die Begründungs- pflicht verletzt. Konkret habe sie es unterlassen, ihre individuelle Situation hinsichtlich des Zugangs zu den Strafverfolgungsbehörden, der Justiz, So- zialhilfe, zu Unterkünften und medizinscher Behandlung in Montenegro zu untersuchen und ausführlich zu begründen. Pauschale Hinweise auf den Umstand, dass Montenegro als verfolgungssicherer Staat (Safe Country) gelte, würden der Untersuchungs- und Begründungspflicht nicht genügen. Vielmehr wäre die Vorinstanz gehalten gewesen, aktuelle Länderberichte zu recherchieren und berücksichtigen. Des Weiteren habe sie den medizi- nischen Sachverhalt nicht vollständig ermittelt. Der Verweis auf ein dreisei- tiges medizinisches Consulting sei nicht ausreichend. Ebenso habe sie es unterlassen, bei der Frage des Wegweisungsvollzugs das Kindeswohl zu berücksichtigen. Zudem sei nicht korrekt, dass die Vorinstanz die Asylge- suche dem erweiterten Verfahren zugeteilt, dennoch aber eine Verfügung im Sinne von Art. 40 AsylG, mithin mit einer summarischen Begründung und einer verkürzten Beschwerdefrist erlassen habe. Diese Rügen sind vorab zu beurteilen, da sie allenfalls geeignet wären, eine Kassation der vorinstanzlichen Verfügung zu bewirken.</w:t>
      </w:r>
    </w:p>
    <w:p>
      <w:r>
        <w:rPr>
          <w:b/>
        </w:rPr>
        <w:t>E. 5.2</w:t>
      </w:r>
    </w:p>
    <w:p>
      <w:r>
        <w:t>Bei der angefochtenen Verfügung handelt es sich um einen Entscheid gestützt auf Art. 40 i.V.m. Art. 6a Abs. 2 Bst. a AsylG, weshalb die fünftä- gige Beschwerdefrist korrekt ist, zumal aufgrund der Anhörung offenkundig war, dass die Flüchtlingseigenschaft nicht glaubhaft dargelegt werden konnte und diesbezüglich auch keine weiteren Abklärungen nötig waren (Art. 108 Abs. 3 AsylG). Soweit in der Beschwerde vorgebracht wird, das SEM hätte die angefochtene Verfügung nicht in Anwendung von Art. 40 AsylG erlassen dürfen, weil zuvor eine Zuteilung in das erweiterte Verfah- ren erfolgt sei, ist festzustellen, dass die Vorinstanz nur deshalb so vorge- gangen ist, weil sie einen von den Beschwerdeführerinnen in Aussicht ge- stellten ärztlichen Bericht sowie eine Stellungnahme des Frauenhauses abwarten wollte (SEM Akten 1090919-27/17, F64, 1090919-31/2). Dieses Vorgehen der Vorinstanz diente aller Voraussicht nach der vollständigen medizinischen Sachverhaltsermittlung. Schliesslich haben die Beschwer- deführerinnen fristgerecht eine 23-seitige Beschwerdeschrift eingereicht. Dies zeigt, dass es ihnen offensichtlich ohne weiteres möglich war, den Entscheid sachgerecht anzufechten. Durch die Vorgehensweise der Vor- instanz erlitten die Beschwerdeführerinnen nach dem Gesagten keine Nachteile, weshalb sich diese Rüge als unbegründet erweist.</w:t>
      </w:r>
    </w:p>
    <w:p>
      <w:r>
        <w:t>E-2785/2021 Seite 7</w:t>
      </w:r>
    </w:p>
    <w:p>
      <w:r>
        <w:rPr>
          <w:b/>
        </w:rPr>
        <w:t>E. 5.3</w:t>
      </w:r>
    </w:p>
    <w:p>
      <w:r>
        <w:t>Die Beschwerdeführerinnen scheinen sodann zu verkennen, dass so- wohl die Bestimmung von Art. 6a Abs. 2 Bst. a AsylG (betreffend die Flücht- lingseigenschaft) als auch diejenige von Art. 83 Abs. 5 AIG ([SR 142.20] betreffend die Zumutbarkeit des Wegweisungsvollzugs) Regelvermutun- gen beinhalten. Diese beruhen auf Lageanalysen in Bezug auf den betref- fenden Staat, welche vom Bundesrat periodisch überprüft werden (Art. 6a Abs. 3 AsylG). Solche Regelvermutungen haben eine Umkehr der Beweis- last zur Folge, und es obliegt den betroffenen Personen, den Beweis des Gegenteils zu erbringen. Zwar entbinden die Regelvermutungen das SEM nicht davon, allfällig geltend gemachten individuellen Hinweise, die im kon- kreten Fall gegen die Annahme der Schutzfähigkeit oder des Schutzwillens des entsprechenden Staates oder der Zumutbarkeit des Wegweisungsvoll- zugs sprechen, sorgfältig zu prüfen und – sofern die Mitwirkungspflicht der Betroffenen an ihre Grenzen stösst – im Rahmen der Untersuchungspflicht abzuklären (vgl. PETER BOLZLI in: Spescha et al. [Hrsg.], Kommentar zum Migrationsrecht, 5. Aufl. 2019, Art. 83 AIG N 35). Indes ist das SEM nicht gehalten, und es würde dem Sinn und Zweck der Bestimmungen von Art. 6a Abs. 2 Bst. a AsylG sowie Art. 83 Abs. 5 AIG zuwiderlaufen, in allen Safe Country-Verfahren weitläufige Abklärungen zu tätigen, wie dies von den Beschwerdeführerinnen verlangt wird. Konkrete Hinweise, die geeig- net wären, den Beweis des Gegenteils zu erbringen, mithin die mangelnde Schutzfähigkeit oder den Schutzwillen des montenegrinischen Staates im hier zu beurteilenden Fall mindestens glaubhaft zu machen, haben die Be- schwerdeführerinnen – wie unter E. 8.2 hiernach dargelegt wird – vorlie- gend nicht geltend gemacht, weshalb das SEM nicht verpflichtet war, inso- weit weitergehende Abklärungen vorzunehmen. Dasselbe gilt für die Frage nach der Zumutbarkeit des Wegweisungsvollzugs (siehe E. 10.3 nachste- hend). Die Rüge erweist sich nach dem Gesagten als unbegründet.</w:t>
      </w:r>
    </w:p>
    <w:p>
      <w:r>
        <w:rPr>
          <w:b/>
        </w:rPr>
        <w:t>E. 5.4</w:t>
      </w:r>
    </w:p>
    <w:p>
      <w:r>
        <w:t>Schliesslich kann der Vorinstanz nicht vorgehalten werden, sie habe den medizinischen Sachverhalt in Bezug auf den Vollzug der Wegweisung unvollständig festgestellt. Anhand der ihr vorgelegenen Berichte war die Beurteilung der Frage nach der Zumutbarkeit des Wegweisungsvollzugs nach Montenegro – das als Safe Country gilt und wie bereits festgehalten, die Regelvermutung besteht, wonach der Wegweisungsvollzug grundsätz- lich zumutbar ist – ohne weiteres möglich. Auf die Einholung oder das Ab- warten von weiteren Arztberichten durfte die Vorinstanz in antizipierter Be- weiswürdigung verzichten, zumal sie nicht davon ausgehen musste, es würden konkrete und substantiierte Hinweise vorgebracht, welche geeig- net wären, die Regelvermutung umzustossen. Betreffend das Kindeswohl ist schliesslich anzumerken, dass die Vorinstanz auch diesen Aspekt zwar</w:t>
      </w:r>
    </w:p>
    <w:p>
      <w:r>
        <w:t>E-2785/2021 Seite 8 knapp, aber noch ausreichend mitberücksichtigt hat, wenn sie in der ange- fochtenen Verfügung ausführt, es bestehe in Montenegro ein familiäres Netz, das die Beschwerdeführerin bei einer Rückkehr unterstützen könne. Die beiden im Zeitpunkt des Ergehens der angefochtenen Verfügung erst (…)- und (…)jährigen Kinder, deren Hauptbezugsperson aufgrund ihres Al- ters die Mutter ist, sind damit auch ohne eine explizite Nennung miteinbe- zogen. Betreffend die medizinischen Behandlungsmöglichkeiten wurden die Kinder sodann explizit erwähnt. Demnach hat die Vorinstanz das Kin- deswohl in noch rechtsgenüglicher – und vor dem Hintergrund, dass die Zumutbarkeit des Vollzugs in Safe Countries grundsätzlich als gegeben er- achtet wird – berücksichtigt. Auch diese Rüge geht somit fehl.</w:t>
      </w:r>
    </w:p>
    <w:p>
      <w:r>
        <w:rPr>
          <w:b/>
        </w:rPr>
        <w:t>E. 5.5</w:t>
      </w:r>
    </w:p>
    <w:p>
      <w:r>
        <w:t>Die formellen Rügen erweisen sich nach dem Gesagten als unbegrün- det, weshalb der Rückweisungsantrag abzuweisen ist.</w:t>
      </w:r>
    </w:p>
    <w:p>
      <w:r>
        <w:rPr>
          <w:b/>
        </w:rPr>
        <w:t>E. 6</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Fluchtgründen ist Rechnung zu tragen (Art. 3 Abs. 2 AsylG).</w:t>
      </w:r>
    </w:p>
    <w:p>
      <w:r>
        <w:rPr>
          <w:b/>
        </w:rPr>
        <w:t>E. 7.1</w:t>
      </w:r>
    </w:p>
    <w:p>
      <w:r>
        <w:t>Zur Begründung des Entscheids führt die Vorinstanz in der angefoch- tenen Verfügung aus, die Beschwerdeführerin mache Verfolgung durch ih- ren Ex-Partner, mithin eine private Drittperson geltend. Montenegro gelte indes als verfolgungssicherer Staat im Sinne von Art. 6a Abs. 2 Bst. a AsylG. Für jene Staaten, die vom Bundesrat aufgrund einer Lageanalyse als verfolgungssicher bezeichnet würden, bestehe die gesetzliche Regel- vermutung, dass asylrelevante staatliche Verfolgung nicht stattfinde und Schutz vor nichtstaatlicher Verfolgung gewährleistet sei. Der montenegri- nische Staat gelte bei Behelligungen durch Dritte grundsätzlich als schutz- fähig und schutzwillig. Der Beschwerdeführerin sei es zumutbar, sich bei allfälligen zukünftigen Übergriffen durch ihren Ex-Partner an die Polizei zu wenden. Dass sich ihr Vater in D._______ an die Polizei gewendet habe und ihm dort geraten worden sei, die Drohnachrichten zu speichern, zeige,</w:t>
      </w:r>
    </w:p>
    <w:p>
      <w:r>
        <w:t>E-2785/2021 Seite 9 dass die Behörden solche Fälle durchaus ernst nehmen würden. Sollte das bei ihr nicht der Fall sein, bestehe die Möglichkeit, gegen untätige, fehlbare Beamte auf dem Rechtsweg vorzugehen und die ihr zustehenden Rechte bei höheren Instanzen einzufordern. Vor diesem Hintergrund würden die geltend gemachten Übergriffe keine Asylrelevanz im Sinne von Art. 3 AsylG zu entfalten vermögen.</w:t>
      </w:r>
    </w:p>
    <w:p>
      <w:r>
        <w:rPr>
          <w:b/>
        </w:rPr>
        <w:t>E. 7.2</w:t>
      </w:r>
    </w:p>
    <w:p>
      <w:r>
        <w:t>In der Rechtsmitteleingabe wird ausgeführt, in Roma-Familien würden patriarchalische Strukturen herrschen. Die Beschwerdeführerinnen hätten häusliche Gewalt durch den Ex-Partner beziehungsweise Vater erlebt. Mit der Trennung von diesem habe die Beschwerdeführerin dessen Ehre be- schmutzt. Gemäss dessen Auffassung würden die Kinder ihm zustehen, weshalb er die Beschwerdeführerin bedroht habe. Sie habe Angst, Opfer eines Ehrenmordes zu werden. Entgegen der Auffassung der Vorinstanz könne vorliegend nicht von der Schutzfähigkeit und dem Schutzwillen der montenegrinischen Behörden ausgegangen werden. Verschiedenen Be- richten der Group of Experts on Action against Violence against Women and Domestic Violence (GREVIO) oder des US Department of State (US- DOS) zufolge, hätten insbesondere Angehörige der Roma-Gesellschaften grosse Schwierigkeiten, staatliche Hilfe zu suchen und diese zu erhalten, wenn es um geschlechtsspezifische Gewalt gehe. Ebenso sei der Zugang zu Frauenhäusern für Roma-Frauen erschwert. Den Berichten lasse sich schliesslich auch entnehmen, dass die Umsetzung strafrechtlicher Normen im Zusammenhang mit häuslicher Gewalt in Montenegro nicht ausreichend und das Verfahren zum Erlass von vorsorglichen Massnahmen nicht opfer- freundlich ausgestaltet sei.</w:t>
      </w:r>
    </w:p>
    <w:p>
      <w:r>
        <w:rPr>
          <w:b/>
        </w:rPr>
        <w:t>E. 8.1</w:t>
      </w:r>
    </w:p>
    <w:p>
      <w:r>
        <w:t>Mit der Vorinstanz und wie vorstehend bereits ausgeführt, zählt Mon- tenegro zu den verfolgungssicheren Staaten (Safe Country) im Sinne von Art. 6a Abs. 2 Bst. a AsylG (vgl. dazu Anhang 2 der Asylverordnung 1 vom</w:t>
      </w:r>
    </w:p>
    <w:p>
      <w:r>
        <w:rPr>
          <w:b/>
        </w:rPr>
        <w:t>E. 8.2</w:t>
      </w:r>
    </w:p>
    <w:p>
      <w:r>
        <w:t>Die Beschwerdeführerinnen vermögen mit ihren grösstenteils allge- mein gehaltenen Vorbringen die vorgenannte Regelvermutung (Fehlen staatlicher Verfolgung und Gewährleistung von Schutz vor nichtstaatlicher Verfolgung) nicht umzustossen. Die verschiedenen zitierten Berichte zur allgemeinen Situation in Montenegro sind für sich allein nicht geeignet, den Beweis des Gegenteils zu erbringen. Konkret geht aus den Akten hervor, dass sich die Beschwerdeführerin nie an die örtliche Polizei oder andere Behörden gewandt hat, um Schutz vor ihrem Ex-Partner zu suchen oder gegen diesen eine Strafanzeige einzureichen. Dies wäre ihr indes ohne Weiteres zuzumuten gewesen, zumal ihr dies gemäss ihren eigenen Aus- sagen auch von ihren Eltern nahegelegt worden sein soll. Der Umstand sodann, dass es sich bei den Beschwerdeführerinnen um ethnische Roma handelt, ändert daran nichts. Es liegen keine konkreten und substantiierten Hinweise vor, wonach ihr aufgrund ihrer ethnischen Zugehörigkeit Schutz verwehrt worden wäre. Den Beschwerdeführerinnen ist es daher auch auf Beschwerdeebene nicht gelungen, glaubhaft darzulegen, dass sich die montenegrinischen Behörden vorliegend geweigert hätten oder in Zukunft weigern würden, ihnen Schutz vor Übergriffen des Ex-Partners bezie- hungsweise Vaters zu gewähren. Im Übrigen ist der Einstellungsverfügung der Staatsanwaltschaft F._______ vom (…) 20(…) im Verfahren (…) zu entnehmen, dass der Ex-Partner und Vater der Beschwerdeführerinnen diese im (…) 20(…) in der Schweiz für mehrere Wochen besucht und bei ihnen gelebt hat. Mithin ist vor diesem Hintergrund mehr als fraglich, ob und inwiefern von diesem eine Gefahr für die Beschwerdeführerinnen aus- geht. Unabhängig davon ist aber festzuhalten, dass die Vorinstanz die Asylgesuche zu Recht abgelehnt hat. 9. 9.1 Lehnt das SEM das Asylgesuch ab oder tritt es darauf nicht ein, so verfügt es in der Regel die Wegweisung aus der Schweiz und ordnet den Vollzug an; es berücksichtigt dabei den Grundsatz der Einheit der Familie (Art. 44 AsylG). 9.2 Die Beschwerdeführerinnen verfügen insbesondere weder über eine ausländerrechtliche Aufenthaltsbewilligung noch über einen Anspruch auf Erteilung einer solchen. Die Wegweisung wurde demnach ebenfalls zu Recht angeordnet (vgl. BVGE 2013/37 E. 4.4; 2009/50 E. 9, je m.w.H.). 10. 10.1 Ist der Vollzug der Wegweisung nicht zulässig, nicht zumutbar oder nicht möglich, so regelt das SEM das Anwesenheitsverhältnis nach den</w:t>
      </w:r>
    </w:p>
    <w:p>
      <w:r>
        <w:t>E-2785/2021 Seite 11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10.2 10.2.1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10.2.2 Da es den Beschwerdeführerinnen nicht gelungen ist, eine asyl- rechtlich erhebliche Gefährdung nachzuweisen oder glaubhaft zu machen, kann der in Art. 5 AsylG verankerte Grundsatz der Nichtrückschiebung im vorliegenden Verfahren keine Anwendung finden. Eine Rückkehr der Be- schwerdeführerinnen nach Montenegro ist demnach unter dem Aspekt von Art. 5 AsylG rechtmässig. 10.2.3 Sodann ergeben sich weder aus den Ausführungen der Beschwer- deführerinnen noch aus den Akten Anhaltspunkte dafür, dass sie für den Fall einer Ausschaffung in den Heimatstaat dort mit beachtlicher Wahr- scheinlichkeit einer nach Art. 3 EMRK oder Art. 1 FoK verbotenen Strafe oder Behandlung ausgesetzt wären. Auch die allgemeine Menschenrechts- situation in Montenegro lässt den Wegweisungsvollzug zum heutigen Zeit- punkt nicht als unzulässig erscheinen.</w:t>
      </w:r>
    </w:p>
    <w:p>
      <w:r>
        <w:t>E-2785/2021 Seite 12 10.2.4 Nach dem Gesagten ist der Vollzug der Wegweisung sowohl im Sinne der asyl- als auch der völkerrechtlichen Bestimmungen zulässig. 10.3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Auf Unzumutbarkeit des Wegweisungsvollzugs aus medizinischen Gründen ist nach Lehre und konstanter Praxis nur dann zu schliessen, wenn eine notwendige medizinische Behandlung im Hei- matland nicht zur Verfügung steht und die Rückkehr zu einer raschen und lebensgefährdenden Beeinträchtigung des Gesundheitszustands der be- troffenen Person führen würde. Dabei wird als wesentlich die allgemeine und dringende medizinische Behandlung erachtet, welche zur Gewährleis- tung einer menschenwürdigen Existenz absolut notwendig ist. Unzumut- barkeit liegt jedenfalls dann noch nicht vor, wenn im Heimat- oder Her- kunftsstaat eine nicht dem schweizerischen Standard entsprechende me- dizinische Behandlung möglich ist (vgl. etwa BVGE 2011/50 E. 8.3 und 2009/2 E. 9.3.1 je m.w.H.). 10.3.1 Die Aufnahme von Montenegro in die Liste der verfolgungssicheren Staaten hat auch die gesetzliche Regelvermutung zur Folge, dass eine Rückkehr abgewiesener Asylsuchender in dieses Land in der Regel zumut- bar ist (Art. 83 Abs. 5 AIG). Es obliegt der betroffenen Person, diese Re- gelvermutung gegebenenfalls mit substantiierten Gegenargumenten um- zustossen. 10.3.2 In der Rechtsmitteleingabe vom Juni 2021 wird geltend gemacht, die Beschwerdeführerin habe die Beziehung zu ihrer Familie abbrechen müssen, weil diese ihr nahegelegt habe, den Kontakt zur ihrem Ex-Partner und dem Vater ihrer Kinder wieder aufzunehmen. An diesem Vorbringen bestehen indes erhebliche Zweifel, lebte der Ex-Partner der Beschwerde- führerin – wie bereits vorstehend ausgeführt – kurz nach diesem Vorbrin- gen im (…) 20(…) während mehrerer Wochen bei den Beschwerdeführe- rinnen. Sodann sind den Akten keine Hinweise für das Vorbringen der Be- schwerdeführerin zu entnehmen. Es ist daher davon auszugehen, dass sie bei einer Rückkehr nach Montenegro einerseits über Beziehungen zu ihrer Familie, andererseits zu ihrem (Ex-)Partner und Vater der gemeinsamen Kinder hat. Damit verfügen sie über ein familiäres Beziehungsnetz, wel- ches sie bei einer Rückkehr in ihrem Daheim aufnehmen und bei der</w:t>
      </w:r>
    </w:p>
    <w:p>
      <w:r>
        <w:t>E-2785/2021 Seite 13 Reintegration unterstützen kann. Auch ist es der Beschwerdeführerin zu- zumuten, sich um eine Arbeitsstelle zu bemühen um an den Unterhalt der Familie beizutragen. Zudem haben gemäss ihren eigenen Angaben in der Vergangenheit ihre in der Schweiz lebenden Geschwister die in Mon- tenegro lebende Familie finanziell unterstützt (SEM Akten 1090919-27/17, F27, F30), wovon erneut auszugehen ist. Schliesslich steht es den Be- schwerdeführerinnen frei, Rückkehrhilfe zu beantragen (vgl. Art. 93 Abs. 1 Bst. d AsylG i.V.m. Art. 73 ff. der Asylverordnung 2 über Finanzierungsfra- gen [SR 142.312]). Insoweit ist der Vollzug der Wegweisung zumutbar. 10.3.3 Was die gesundheitliche Situation der Beschwerdeführerinnen be- trifft, leidet die Beschwerdeführerin gemäss dem zuletzt im November 2021 eingereichten ärztlichen Bericht vom 15. November 2021 an posttraumati- schen Belastungsstörungen und nehme ein nicht näher spezifiziertes Anti- depressivum ein. Die behandelnde Psychologin empfiehlt eine weiterge- hende, traumaspezifische psychotherapeutische Behandlung. Betreffend die beiden Kinder wird im zuletzt eingereichten Bericht der Beratungsstellte (…) vom 14. Juli 2021 ausgeführt, aufgrund von verschiedenen traumabe- dingten Auffälligkeiten sei auch bei diesen eine psychotherapeutische Be- handlung indiziert. Seither, mithin seit über dreieinhalb Jahren, wurden von den rechtlich vertretenen Beschwerdeführerinnen trotz bestehender Mitwir- kungspflicht (Art. 8 AsylG) keine weiteren ärztlichen Berichte eingereicht, mithin ist davon auszugehen, dass sie keiner fachärztlichen Betreuung be- dürfen. Mit der Vorinstanz ist festzuhalten, dass die Behandelbarkeit – sofern eine solche dennoch notwendig sein sollte – der psychischen Probleme der Be- schwerdeführerinnen in Montenegro gewährleistet ist, auch wenn diese nicht exakt dem schweizerischen Standard entsprechen (vgl. auch https://files.returningfromgermany.de/files/2020-1%20Mon- tenegro%20PTBS.pdf, abgerufen am 28. April 2025). Nebst den bereits in der angefochtenen Verfügung genannten Behandlungsmöglichkeiten gibt es seit dem 18. September 2024 eine Jugendstation in der neuen psychi- atrischen Klinik im Klinischen Zentrum Montenegros (KCCG) in D._______, wo stationäre psychiatrische Behandlungen von Kindern und Jugendlichen möglich sind (https://www.cin-cg.me/sistem-ne-pruza- dovoljnu-podrsku-najmladima-koji-se-suocavaju-sa-izazovima-mentalnog- zdravlja-najveci-broj-lijeci-se-u-inostranstvu/, abgerufen am 28. April 2025). In diesem Artikel wird ausserdem festgehalten, die Verfügbarkeit psychiatrischer Dienste habe sich in den letzten Jahren im Allgemeinen verbessert. Insoweit sind die Angaben im medizinischen Consulting vom</w:t>
      </w:r>
    </w:p>
    <w:p>
      <w:r>
        <w:t>E-2785/2021 Seite 14</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nach Montenegro ist demnach unter dem Aspekt von Art. 5 AsylG rechtmässig.</w:t>
      </w:r>
    </w:p>
    <w:p>
      <w:r>
        <w:rPr>
          <w:b/>
        </w:rPr>
        <w:t>E. 10.2.3</w:t>
      </w:r>
    </w:p>
    <w:p>
      <w:r>
        <w:t>Sodann ergeben sich weder aus den Ausführungen der Beschwerdeführerinnen noch aus den Akten Anhaltspunkte dafür, dass sie für den Fall einer Ausschaffung in den Heimatstaat dort mit beachtlicher Wahrscheinlichkeit einer nach Art. 3 EMRK oder Art. 1 FoK verbotenen Strafe oder Behandlung ausgesetzt wären. Auch die allgemeine Menschenrechtssituation in Montenegro lässt den Wegweisungsvollzug zum heutigen Zeitpunkt nicht als unzulässig erscheinen.</w:t>
      </w:r>
    </w:p>
    <w:p>
      <w:r>
        <w:rPr>
          <w:b/>
        </w:rPr>
        <w:t>E. 10.2.4</w:t>
      </w:r>
    </w:p>
    <w:p>
      <w:r>
        <w:t>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m.w.H.).</w:t>
      </w:r>
    </w:p>
    <w:p>
      <w:r>
        <w:rPr>
          <w:b/>
        </w:rPr>
        <w:t>E. 10.3.1</w:t>
      </w:r>
    </w:p>
    <w:p>
      <w:r>
        <w:t>Die Aufnahme von Montenegro in die Liste der verfolgungssicheren Staaten hat auch die gesetzliche Regelvermutung zur Folge, dass eine Rückkehr abgewiesener Asylsuchender in dieses Land in der Regel zumutbar ist (Art. 83 Abs. 5 AIG). Es obliegt der betroffenen Person, diese Regelvermutung gegebenenfalls mit substantiierten Gegenargumenten umzustossen.</w:t>
      </w:r>
    </w:p>
    <w:p>
      <w:r>
        <w:rPr>
          <w:b/>
        </w:rPr>
        <w:t>E. 10.3.2</w:t>
      </w:r>
    </w:p>
    <w:p>
      <w:r>
        <w:t>In der Rechtsmitteleingabe vom Juni 2021 wird geltend gemacht, die Beschwerdeführerin habe die Beziehung zu ihrer Familie abbrechen müssen, weil diese ihr nahegelegt habe, den Kontakt zur ihrem Ex-Partner und dem Vater ihrer Kinder wieder aufzunehmen. An diesem Vorbringen bestehen indes erhebliche Zweifel, lebte der Ex-Partner der Beschwerdeführerin - wie bereits vorstehend ausgeführt - kurz nach diesem Vorbringen im (...) 20(...) während mehrerer Wochen bei den Beschwerdeführerinnen. Sodann sind den Akten keine Hinweise für das Vorbringen der Beschwerdeführerin zu entnehmen. Es ist daher davon auszugehen, dass sie bei einer Rückkehr nach Montenegro einerseits über Beziehungen zu ihrer Familie, andererseits zu ihrem (Ex-)Partner und Vater der gemeinsamen Kinder hat. Damit verfügen sie über ein familiäres Beziehungsnetz, welches sie bei einer Rückkehr in ihrem Daheim aufnehmen und bei der Reintegration unterstützen kann. Auch ist es der Beschwerdeführerin zuzumuten, sich um eine Arbeitsstelle zu bemühen um an den Unterhalt der Familie beizutragen. Zudem haben gemäss ihren eigenen Angaben in der Vergangenheit ihre in der Schweiz lebenden Geschwister die in Montenegro lebende Familie finanziell unterstützt (SEM Akten 1090919-27/17, F27, F30), wovon erneut auszugehen ist. Schliesslich steht es den Beschwerdeführerinnen frei, Rückkehrhilfe zu beantragen (vgl. Art. 93 Abs. 1 Bst. d AsylG i.V.m. Art. 73 ff. der Asylverordnung 2 über Finanzierungsfragen [SR 142.312]). Insoweit ist der Vollzug der Wegweisung zumutbar.</w:t>
      </w:r>
    </w:p>
    <w:p>
      <w:r>
        <w:rPr>
          <w:b/>
        </w:rPr>
        <w:t>E. 10.3.3</w:t>
      </w:r>
    </w:p>
    <w:p>
      <w:r>
        <w:t>Was die gesundheitliche Situation der Beschwerdeführerinnen betrifft, leidet die Beschwerdeführerin gemäss dem zuletzt im November 2021 eingereichten ärztlichen Bericht vom 15. November 2021 an posttraumatischen Belastungsstörungen und nehme ein nicht näher spezifiziertes Antidepressivum ein. Die behandelnde Psychologin empfiehlt eine weitergehende, traumaspezifische psychotherapeutische Behandlung. Betreffend die beiden Kinder wird im zuletzt eingereichten Bericht der Beratungsstellte (...) vom 14. Juli 2021 ausgeführt, aufgrund von verschiedenen traumabedingten Auffälligkeiten sei auch bei diesen eine psychotherapeutische Behandlung indiziert. Seither, mithin seit über dreieinhalb Jahren, wurden von den rechtlich vertretenen Beschwerdeführerinnen trotz bestehender Mitwirkungspflicht (Art. 8 AsylG) keine weiteren ärztlichen Berichte eingereicht, mithin ist davon auszugehen, dass sie keiner fachärztlichen Betreuung bedürfen. Mit der Vorinstanz ist festzuhalten, dass die Behandelbarkeit - sofern eine solche dennoch notwendig sein sollte - der psychischen Probleme der Beschwerdeführerinnen in Montenegro gewährleistet ist, auch wenn diese nicht exakt dem schweizerischen Standard entsprechen (vgl. auch https://files.returningfromgermany.de/files/2020-1%20Montenegro%20PTBS.pdf, abgerufen am 28. April 2025). Nebst den bereits in der angefochtenen Verfügung genannten Behandlungsmöglichkeiten gibt es seit dem 18. September 2024 eine Jugendstation in der neuen psychiatrischen Klinik im Klinischen Zentrum Montenegros (KCCG) in D._______, wo stationäre psychiatrische Behandlungen von Kindern und Jugendlichen möglich sind (https://www.cin-cg.me/sistem-ne-pruza-dovoljnu-podrsku-najmladima-koji-se-suocavaju-sa-izazovima-mentalnog-zdravlja-najveci-broj-lijeci-se-u-inostranstvu/, abgerufen am 28. April 2025). In diesem Artikel wird ausserdem festgehalten, die Verfügbarkeit psychiatrischer Dienste habe sich in den letzten Jahren im Allgemeinen verbessert. Insoweit sind die Angaben im medizinischen Consulting vom 14. Dezember 2017 zu bestätigen. Demnach sind sowohl ambulante als auch stationäre Behandlungen der Beschwerdeführerinnen - sofern heute überhaupt benötigt - in Montenegro beziehungsweise auch in D._______ verfügbar. Auch diesbezüglich steht es den Beschwerdeführerinnen im Übrigen frei, medizinische Rückkehrhilfe zu beantragen. Aus medizinischer Sicht steht dem Vollzug der Wegweisung nichts entgegen.</w:t>
      </w:r>
    </w:p>
    <w:p>
      <w:r>
        <w:rPr>
          <w:b/>
        </w:rPr>
        <w:t>E. 10.3.4</w:t>
      </w:r>
    </w:p>
    <w:p>
      <w:r>
        <w:t>Sind von einem Wegweisungsvollzug Kinder betroffen, so bildet im Rahmen der Zumutbarkeitsprüfung das Kindeswohl einen Gesichtspunkt von gewichtiger Bedeutung. Dies ergibt sich aus einer völkerrechtskonformen Auslegung von Art. 83 Abs. 4 AIG im Lichte von Art. 3 Abs. 1 des Übereinkommens vom 20. November 1989 über die Rechte des Kindes (nachfolgend: KRK, SR 0.107). Die beiden Kinder sind heute (...) und (...) Jahre alt. Aufgrund ihres Alters ist die Mutter ihre Hauptbezugsperson und ist eine eigenständige Sozialisation und Verwurzelung hier in der Schweiz nicht anzunehmen. Ferner ist davon auszugehen, dass die Kinder die Muttersprache sprechen, mithin bei einer Rückkehr sowohl schulischen als auch sozialen Anschluss finden können. Demnach steht auch das Kindeswohl einem Vollzug der Wegweisung nicht entgegen.</w:t>
      </w:r>
    </w:p>
    <w:p>
      <w:r>
        <w:rPr>
          <w:b/>
        </w:rPr>
        <w:t>E. 10.3.5</w:t>
      </w:r>
    </w:p>
    <w:p>
      <w:r>
        <w:t>Nach dem Gesagten erweist sich der Vollzug der Wegweisung als zumutbar.</w:t>
      </w:r>
    </w:p>
    <w:p>
      <w:r>
        <w:rPr>
          <w:b/>
        </w:rPr>
        <w:t>E. 10.4</w:t>
      </w:r>
    </w:p>
    <w:p>
      <w:r>
        <w:t>Schliesslich ist festzuhalten, dass die Beschwerdeführerin über einen bis 2029 gültigen und die beiden Kinder über abgelaufene Reisepässe verfügen. Es obliegt ihnen, sich bei der zuständigen Vertretung des Heimatstaates die für eine Rückkehr noch notwendigen Reisedokumente zu beschaffen (vgl. Art. 8 Abs. 4 AsylG und dazu auch BVGE 2008/34 E. 12), weshalb der Vollzug der Wegweisung auch als möglich zu bezeichnen ist (Art. 83 Abs. 2 AIG).</w:t>
      </w:r>
    </w:p>
    <w:p>
      <w:r>
        <w:rPr>
          <w:b/>
        </w:rPr>
        <w:t>E. 10.5</w:t>
      </w:r>
    </w:p>
    <w:p>
      <w:r>
        <w:t>Zusammenfassend ist festzustellen, dass es den Beschwerdeführerinnen nicht gelungen ist, die Regelvermutung umzustossen, mithin hat die Vorinstanz den Wegweisungsvollzug zu Recht als zulässig, zumutbar und möglich bezeichnet. Eine Anordnung der vorläufigen Aufnahme fällt somit ausser Betracht (Art. 83 Abs. 1-4 AIG).</w:t>
      </w:r>
    </w:p>
    <w:p>
      <w:r>
        <w:rPr>
          <w:b/>
        </w:rPr>
        <w:t>E. 11</w:t>
      </w:r>
    </w:p>
    <w:p>
      <w:r>
        <w:t>August 1999 [AsylV 1; SR 142.311]). Als solches wird ein Land bezeich- net, in dem die Regelvermutung gilt, dass dort keine flüchtlingsrechtlich bedeutsame staatliche Verfolgung stattfindet und die staatlichen Behörden den Schutz vor nichtstaatlicher Verfolgung gewährleisten. Es handelt sich dabei um eine relative Verfolgungssicherheit. Im Einzelfall kann die be- sagte Regelvermutung aufgrund konkreter und substantiierter Hinweise umgestossen werden, wobei die Beweislast des Gegenteils der asylsu- chenden Person obliegt (vgl. BVGE 2013/10 E. 7.4.3).</w:t>
      </w:r>
    </w:p>
    <w:p>
      <w:r>
        <w:t>E-2785/2021 Seite 10</w:t>
      </w:r>
    </w:p>
    <w:p>
      <w:r>
        <w:rPr>
          <w:b/>
        </w:rPr>
        <w:t>E. 12.1</w:t>
      </w:r>
    </w:p>
    <w:p>
      <w:r>
        <w:t>Die Gesuche um Gewährung der unentgeltlichen Prozessführung und amtlichen Verbeiständung sind abzuweisen, da die Beschwerde zum Gesuchszeitpunkt als aussichtslos zu qualifizieren war (Art. 65 VwVG).</w:t>
      </w:r>
    </w:p>
    <w:p>
      <w:r>
        <w:rPr>
          <w:b/>
        </w:rPr>
        <w:t>E. 12.2</w:t>
      </w:r>
    </w:p>
    <w:p>
      <w:r>
        <w:t>Bei diesem Ausgang des Verfahrens sind die Kosten den Beschwerdeführerinnen aufzuerlegen (Art. 63 Abs. 1 VwVG) und auf insgesamt Fr. 750.- festzusetzen (Art. 1-3 des Reglements vom 21. Februar 2008 über die Kosten und Entschädigungen vor dem Bundesverwaltungsgericht [VGKE, SR 173.320.2]). (Dispositiv nächste Seite)</w:t>
      </w:r>
    </w:p>
    <w:p>
      <w:r>
        <w:rPr>
          <w:b/>
        </w:rPr>
        <w:t>E. 14</w:t>
      </w:r>
    </w:p>
    <w:p>
      <w:r>
        <w:t>Dezember 2017 zu bestätigen. Demnach sind sowohl ambulante als auch stationäre Behandlungen der Beschwerdeführerinnen – sofern heute überhaupt benötigt – in Montenegro beziehungsweise auch in D._______ verfügbar. Auch diesbezüglich steht es den Beschwerdeführerinnen im Üb- rigen frei, medizinische Rückkehrhilfe zu beantragen. Aus medizinischer Sicht steht dem Vollzug der Wegweisung nichts entgegen. 10.3.4 Sind von einem Wegweisungsvollzug Kinder betroffen, so bildet im Rahmen der Zumutbarkeitsprüfung das Kindeswohl einen Gesichtspunkt von gewichtiger Bedeutung. Dies ergibt sich aus einer völkerrechtskonfor- men Auslegung von Art. 83 Abs. 4 AIG im Lichte von Art. 3 Abs. 1 des Über- einkommens vom 20. November 1989 über die Rechte des Kindes (nach- folgend: KRK, SR 0.107). Die beiden Kinder sind heute (…) und (…) Jahre alt. Aufgrund ihres Alters ist die Mutter ihre Hauptbezugsperson und ist eine eigenständige Soziali- sation und Verwurzelung hier in der Schweiz nicht anzunehmen. Ferner ist davon auszugehen, dass die Kinder die Muttersprache sprechen, mithin bei einer Rückkehr sowohl schulischen als auch sozialen Anschluss finden können. Demnach steht auch das Kindeswohl einem Vollzug der Wegwei- sung nicht entgegen. 10.3.5 Nach dem Gesagten erweist sich der Vollzug der Wegweisung als zumutbar. 10.4 Schliesslich ist festzuhalten, dass die Beschwerdeführerin über einen bis 2029 gültigen und die beiden Kinder über abgelaufene Reisepässe ver- fügen. Es obliegt ihnen, sich bei der zuständigen Vertretung des Heimat- staates die für eine Rückkehr noch notwendigen Reisedokumente zu be- schaffen (vgl. Art. 8 Abs. 4 AsylG und dazu auch BVGE 2008/34 E. 12), weshalb der Vollzug der Wegweisung auch als möglich zu bezeichnen ist (Art. 83 Abs. 2 AIG). 10.5 Zusammenfassend ist festzustellen, dass es den Beschwerdeführe- rinnen nicht gelungen ist, die Regelvermutung umzustossen, mithin hat die Vorinstanz den Wegweisungsvollzug zu Recht als zulässig, zumutbar und möglich bezeichnet. Eine Anordnung der vorläufigen Aufnahme fällt somit ausser Betracht (Art. 83 Abs. 1–4 AIG). 11. Aus diesen Erwägungen ergibt sich, dass die angefochtene Verfügung Bundesrecht nicht verletzt, den rechtserheblichen Sachverhalt richtig</w:t>
      </w:r>
    </w:p>
    <w:p>
      <w:r>
        <w:t>E-2785/2021 Seite 15 sowie vollständig feststellt (Art. 106 Abs. 1 AsylG) und – soweit diesbezüg- lich überprüfbar – angemessen ist. Die Beschwerde ist abzuweisen. 12. 12.1 Die Gesuche um Gewährung der unentgeltlichen Prozessführung und amtlichen Verbeiständung sind abzuweisen, da die Beschwerde zum Ge- suchszeitpunkt als aussichtslos zu qualifizieren war (Art. 65 VwVG). 12.2 Bei diesem Ausgang des Verfahrens sind die Kosten den Beschwer- deführerinnen aufzuerlegen (Art. 63 Abs. 1 VwVG) und auf insgesamt Fr. 750.– festzusetzen (Art. 1–3 des Reglements vom 21. Februar 2008 über die Kosten und Entschädigungen vor dem Bundesverwaltungsgericht [VGKE, SR 173.320.2]).</w:t>
      </w:r>
    </w:p>
    <w:p>
      <w:r>
        <w:t>(Dispositiv nächste Seite)</w:t>
      </w:r>
    </w:p>
    <w:p>
      <w:r>
        <w:t>E-2785/2021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